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A1AF8" w14:textId="0F61F987" w:rsidR="00567B70" w:rsidRPr="00BF3B0F" w:rsidRDefault="00092DEE" w:rsidP="00E315CD">
      <w:pPr>
        <w:pStyle w:val="Title"/>
        <w:rPr>
          <w:color w:val="FFFFFF" w:themeColor="background1"/>
        </w:rPr>
      </w:pPr>
      <w:bookmarkStart w:id="0" w:name="_Hlk62835341"/>
      <w:bookmarkStart w:id="1" w:name="_Hlk122003776"/>
      <w:r w:rsidRPr="00BF3B0F">
        <w:rPr>
          <w:color w:val="FFFFFF" w:themeColor="background1"/>
        </w:rPr>
        <w:drawing>
          <wp:anchor distT="0" distB="0" distL="114300" distR="114300" simplePos="0" relativeHeight="251658240" behindDoc="1" locked="0" layoutInCell="1" allowOverlap="1" wp14:anchorId="36B0B729" wp14:editId="5FD0FE85">
            <wp:simplePos x="0" y="0"/>
            <wp:positionH relativeFrom="page">
              <wp:align>right</wp:align>
            </wp:positionH>
            <wp:positionV relativeFrom="paragraph">
              <wp:posOffset>-942975</wp:posOffset>
            </wp:positionV>
            <wp:extent cx="7559675" cy="1981200"/>
            <wp:effectExtent l="0" t="0" r="3175" b="0"/>
            <wp:wrapNone/>
            <wp:docPr id="790529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C183D7F6-B498-43B3-948B-1728B52AA6E4}">
                          <adec:decorative xmlns="" xmlns:o="urn:schemas-microsoft-com:office:office" xmlns:v="urn:schemas-microsoft-com:vml" xmlns:w10="urn:schemas-microsoft-com:office:word" xmlns:w="http://schemas.openxmlformats.org/wordprocessingml/2006/main" xmlns:a14="http://schemas.microsoft.com/office/drawing/2010/main" xmlns:adec="http://schemas.microsoft.com/office/drawing/2017/decorative" xmlns:arto="http://schemas.microsoft.com/office/word/2006/arto" val="1"/>
                        </a:ext>
                      </a:extLst>
                    </a:blip>
                    <a:stretch>
                      <a:fillRect/>
                    </a:stretch>
                  </pic:blipFill>
                  <pic:spPr>
                    <a:xfrm>
                      <a:off x="0" y="0"/>
                      <a:ext cx="7559675" cy="1981200"/>
                    </a:xfrm>
                    <a:prstGeom prst="rect">
                      <a:avLst/>
                    </a:prstGeom>
                  </pic:spPr>
                </pic:pic>
              </a:graphicData>
            </a:graphic>
            <wp14:sizeRelH relativeFrom="page">
              <wp14:pctWidth>0</wp14:pctWidth>
            </wp14:sizeRelH>
            <wp14:sizeRelV relativeFrom="page">
              <wp14:pctHeight>0</wp14:pctHeight>
            </wp14:sizeRelV>
          </wp:anchor>
        </w:drawing>
      </w:r>
      <w:bookmarkStart w:id="2" w:name="_Hlk122003795"/>
      <w:r w:rsidR="00EF31C0" w:rsidRPr="00BF3B0F">
        <w:rPr>
          <w:color w:val="FFFFFF" w:themeColor="background1"/>
        </w:rPr>
        <w:t>Overseas Student Health Cover</w:t>
      </w:r>
      <w:r w:rsidR="00934E1B" w:rsidRPr="00BF3B0F">
        <w:rPr>
          <w:color w:val="FFFFFF" w:themeColor="background1"/>
        </w:rPr>
        <w:t xml:space="preserve"> </w:t>
      </w:r>
      <w:r w:rsidR="008047E6">
        <w:rPr>
          <w:color w:val="FFFFFF" w:themeColor="background1"/>
        </w:rPr>
        <w:t>U</w:t>
      </w:r>
      <w:r w:rsidR="00934E1B" w:rsidRPr="00BF3B0F">
        <w:rPr>
          <w:color w:val="FFFFFF" w:themeColor="background1"/>
        </w:rPr>
        <w:t>pdate</w:t>
      </w:r>
    </w:p>
    <w:p w14:paraId="1EBD1582" w14:textId="60C971C1" w:rsidR="00410733" w:rsidRDefault="00E4152C" w:rsidP="00E4152C">
      <w:pPr>
        <w:pStyle w:val="Title"/>
        <w:rPr>
          <w:color w:val="FFFFFF" w:themeColor="background1"/>
          <w:sz w:val="40"/>
          <w:szCs w:val="40"/>
        </w:rPr>
      </w:pPr>
      <w:r>
        <w:rPr>
          <w:color w:val="FFFFFF" w:themeColor="background1"/>
          <w:sz w:val="40"/>
          <w:szCs w:val="40"/>
        </w:rPr>
        <w:t xml:space="preserve">MCWH </w:t>
      </w:r>
      <w:r w:rsidR="00864CDF">
        <w:rPr>
          <w:color w:val="FFFFFF" w:themeColor="background1"/>
          <w:sz w:val="40"/>
          <w:szCs w:val="40"/>
        </w:rPr>
        <w:t xml:space="preserve">Policy </w:t>
      </w:r>
      <w:r>
        <w:rPr>
          <w:color w:val="FFFFFF" w:themeColor="background1"/>
          <w:sz w:val="40"/>
          <w:szCs w:val="40"/>
        </w:rPr>
        <w:t>Response</w:t>
      </w:r>
      <w:r w:rsidR="0030615E" w:rsidRPr="0078336E">
        <w:rPr>
          <w:color w:val="FFFFFF" w:themeColor="background1"/>
          <w:sz w:val="40"/>
          <w:szCs w:val="40"/>
        </w:rPr>
        <w:t xml:space="preserve"> </w:t>
      </w:r>
      <w:bookmarkStart w:id="3" w:name="_Hlk122003731"/>
    </w:p>
    <w:p w14:paraId="5FE5BF8C" w14:textId="77777777" w:rsidR="00E4152C" w:rsidRPr="00BF3B0F" w:rsidRDefault="00E4152C" w:rsidP="00BF3B0F"/>
    <w:p w14:paraId="4BF1B7BD" w14:textId="77777777" w:rsidR="0001561E" w:rsidRPr="0001561E" w:rsidRDefault="0001561E" w:rsidP="0001561E">
      <w:pPr>
        <w:rPr>
          <w:color w:val="FFFFFF" w:themeColor="background1"/>
          <w:sz w:val="28"/>
          <w:szCs w:val="28"/>
        </w:rPr>
      </w:pPr>
    </w:p>
    <w:bookmarkEnd w:id="0"/>
    <w:p w14:paraId="0E2D2835" w14:textId="77777777" w:rsidR="00080039" w:rsidRDefault="00080039" w:rsidP="006F554F">
      <w:pPr>
        <w:rPr>
          <w:rFonts w:eastAsia="Times New Roman"/>
          <w:color w:val="000000"/>
          <w:shd w:val="clear" w:color="auto" w:fill="FFFFFF"/>
        </w:rPr>
        <w:sectPr w:rsidR="00080039" w:rsidSect="0001561E">
          <w:footerReference w:type="default" r:id="rId12"/>
          <w:headerReference w:type="first" r:id="rId13"/>
          <w:endnotePr>
            <w:numFmt w:val="decimal"/>
          </w:endnotePr>
          <w:pgSz w:w="11906" w:h="16838"/>
          <w:pgMar w:top="1440" w:right="1440" w:bottom="1440" w:left="1440" w:header="708" w:footer="708" w:gutter="0"/>
          <w:cols w:space="708"/>
          <w:titlePg/>
          <w:docGrid w:linePitch="360"/>
        </w:sectPr>
      </w:pPr>
    </w:p>
    <w:p w14:paraId="756C2DED" w14:textId="5C204084" w:rsidR="006F554F" w:rsidRDefault="00993304" w:rsidP="00567B70">
      <w:pPr>
        <w:spacing w:line="240" w:lineRule="auto"/>
        <w:sectPr w:rsidR="006F554F" w:rsidSect="006F554F">
          <w:endnotePr>
            <w:numFmt w:val="decimal"/>
          </w:endnotePr>
          <w:type w:val="continuous"/>
          <w:pgSz w:w="11906" w:h="16838"/>
          <w:pgMar w:top="1440" w:right="1440" w:bottom="1440" w:left="1440" w:header="708" w:footer="708" w:gutter="0"/>
          <w:cols w:num="2" w:space="284" w:equalWidth="0">
            <w:col w:w="3686" w:space="284"/>
            <w:col w:w="5056"/>
          </w:cols>
          <w:titlePg/>
          <w:docGrid w:linePitch="360"/>
        </w:sectPr>
      </w:pPr>
      <w:bookmarkStart w:id="4" w:name="_Hlk122003712"/>
      <w:r>
        <w:rPr>
          <w:noProof/>
        </w:rPr>
        <w:drawing>
          <wp:inline distT="0" distB="0" distL="0" distR="0" wp14:anchorId="5B2FBCC8" wp14:editId="10D36376">
            <wp:extent cx="2329180" cy="442595"/>
            <wp:effectExtent l="0" t="0" r="0" b="0"/>
            <wp:docPr id="2" name="Picture 2" descr="Multicultural Centre for Women's Health Logo - a purple and orange illustration of five women's f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ulticultural Centre for Women's Health Logo - a purple and orange illustration of five women's fac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29180" cy="442595"/>
                    </a:xfrm>
                    <a:prstGeom prst="rect">
                      <a:avLst/>
                    </a:prstGeom>
                    <a:noFill/>
                  </pic:spPr>
                </pic:pic>
              </a:graphicData>
            </a:graphic>
          </wp:inline>
        </w:drawing>
      </w:r>
      <w:r w:rsidR="006F554F">
        <w:rPr>
          <w:rFonts w:eastAsia="Times New Roman"/>
          <w:color w:val="000000"/>
          <w:shd w:val="clear" w:color="auto" w:fill="FFFFFF"/>
        </w:rPr>
        <w:br w:type="column"/>
      </w:r>
      <w:r w:rsidRPr="000500B4">
        <w:rPr>
          <w:rFonts w:eastAsia="Times New Roman"/>
          <w:color w:val="000000"/>
          <w:spacing w:val="-2"/>
          <w:shd w:val="clear" w:color="auto" w:fill="FFFFFF"/>
        </w:rPr>
        <w:t>Multicultural Centre for Women’s Health</w:t>
      </w:r>
      <w:r w:rsidR="00567B70" w:rsidRPr="000500B4">
        <w:rPr>
          <w:rFonts w:eastAsia="Times New Roman"/>
          <w:color w:val="000000"/>
          <w:spacing w:val="-2"/>
          <w:shd w:val="clear" w:color="auto" w:fill="FFFFFF"/>
        </w:rPr>
        <w:t xml:space="preserve"> (MCWH)</w:t>
      </w:r>
      <w:r w:rsidRPr="000500B4">
        <w:rPr>
          <w:rFonts w:eastAsia="Times New Roman"/>
          <w:color w:val="000000"/>
          <w:spacing w:val="-2"/>
          <w:shd w:val="clear" w:color="auto" w:fill="FFFFFF"/>
        </w:rPr>
        <w:t xml:space="preserve"> is a feminist organisation l</w:t>
      </w:r>
      <w:r w:rsidRPr="000500B4">
        <w:rPr>
          <w:rFonts w:eastAsia="Times New Roman"/>
          <w:color w:val="000000"/>
          <w:spacing w:val="-2"/>
        </w:rPr>
        <w:t xml:space="preserve">ed by migrant and refugee women </w:t>
      </w:r>
      <w:r w:rsidR="000500B4" w:rsidRPr="000500B4">
        <w:rPr>
          <w:rFonts w:eastAsia="Times New Roman"/>
          <w:color w:val="000000"/>
          <w:spacing w:val="-2"/>
        </w:rPr>
        <w:br/>
      </w:r>
      <w:r w:rsidRPr="000500B4">
        <w:rPr>
          <w:rFonts w:eastAsia="Times New Roman"/>
          <w:color w:val="000000"/>
          <w:spacing w:val="-2"/>
        </w:rPr>
        <w:t>to achieve equity in women’s health and wellbeing</w:t>
      </w:r>
      <w:r w:rsidRPr="000500B4">
        <w:rPr>
          <w:rFonts w:eastAsia="Times New Roman"/>
          <w:color w:val="000000"/>
          <w:spacing w:val="-2"/>
          <w:sz w:val="24"/>
          <w:szCs w:val="24"/>
        </w:rPr>
        <w:t>.</w:t>
      </w:r>
    </w:p>
    <w:p w14:paraId="50D24096" w14:textId="76AC50AA" w:rsidR="00DF0F71" w:rsidRPr="00DF0F71" w:rsidRDefault="00DF0F71" w:rsidP="00DF0F71">
      <w:pPr>
        <w:pStyle w:val="BoxQuote2"/>
        <w:rPr>
          <w:sz w:val="24"/>
          <w:szCs w:val="28"/>
        </w:rPr>
      </w:pPr>
      <w:r w:rsidRPr="00DF0F71">
        <w:rPr>
          <w:sz w:val="24"/>
          <w:szCs w:val="28"/>
        </w:rPr>
        <w:t>This paper outlines MCWH’s response to the 2025 OSHC Deed</w:t>
      </w:r>
      <w:r w:rsidR="009F1ABE">
        <w:rPr>
          <w:sz w:val="24"/>
          <w:szCs w:val="28"/>
        </w:rPr>
        <w:t xml:space="preserve"> and</w:t>
      </w:r>
      <w:r w:rsidRPr="00DF0F71">
        <w:rPr>
          <w:sz w:val="24"/>
          <w:szCs w:val="28"/>
        </w:rPr>
        <w:t xml:space="preserve"> its implications for international students’ access to sexual and reproductive healthcare</w:t>
      </w:r>
      <w:r w:rsidR="009F1ABE">
        <w:rPr>
          <w:sz w:val="24"/>
          <w:szCs w:val="28"/>
        </w:rPr>
        <w:t xml:space="preserve">. </w:t>
      </w:r>
    </w:p>
    <w:bookmarkEnd w:id="1"/>
    <w:bookmarkEnd w:id="2"/>
    <w:bookmarkEnd w:id="3"/>
    <w:bookmarkEnd w:id="4"/>
    <w:p w14:paraId="756CFF23" w14:textId="77777777" w:rsidR="00DF0F71" w:rsidRDefault="00DF0F71" w:rsidP="00DF0F71">
      <w:pPr>
        <w:pStyle w:val="Heading1"/>
      </w:pPr>
      <w:r>
        <w:t>Summary</w:t>
      </w:r>
    </w:p>
    <w:p w14:paraId="51FA6D93" w14:textId="23108271" w:rsidR="008A1AB7" w:rsidRDefault="006172B0" w:rsidP="00C91F10">
      <w:r>
        <w:t>International</w:t>
      </w:r>
      <w:r w:rsidR="001C662A">
        <w:t xml:space="preserve"> </w:t>
      </w:r>
      <w:r w:rsidR="000500B4">
        <w:t>students</w:t>
      </w:r>
      <w:r w:rsidR="001446B1">
        <w:t xml:space="preserve"> </w:t>
      </w:r>
      <w:r w:rsidR="00FF7CAF">
        <w:t xml:space="preserve">and their family members </w:t>
      </w:r>
      <w:r w:rsidR="00DE180E">
        <w:t>are excluded from Medicare and</w:t>
      </w:r>
      <w:r w:rsidR="00E301FF">
        <w:t>,</w:t>
      </w:r>
      <w:r w:rsidR="00DE180E">
        <w:t xml:space="preserve"> </w:t>
      </w:r>
      <w:r w:rsidR="004A0446">
        <w:t xml:space="preserve">as a condition of the student visa, </w:t>
      </w:r>
      <w:r w:rsidR="00DE180E">
        <w:t xml:space="preserve">must </w:t>
      </w:r>
      <w:r w:rsidR="004A0446">
        <w:t xml:space="preserve">take out </w:t>
      </w:r>
      <w:r w:rsidR="000500B4" w:rsidRPr="00DF0F71">
        <w:t>Overseas Student Health Cover</w:t>
      </w:r>
      <w:r w:rsidR="00B70821" w:rsidRPr="00DF0F71">
        <w:t xml:space="preserve"> (OSHC)</w:t>
      </w:r>
      <w:r w:rsidR="004A0446">
        <w:t xml:space="preserve"> for the duration of their residency</w:t>
      </w:r>
      <w:r>
        <w:t xml:space="preserve"> in Australia</w:t>
      </w:r>
      <w:r w:rsidR="000500B4">
        <w:t xml:space="preserve">. </w:t>
      </w:r>
      <w:r w:rsidR="008047E6">
        <w:t xml:space="preserve">The </w:t>
      </w:r>
      <w:r w:rsidR="00802E3F">
        <w:t xml:space="preserve">OSHC </w:t>
      </w:r>
      <w:r w:rsidR="008047E6">
        <w:t xml:space="preserve">standards </w:t>
      </w:r>
      <w:r w:rsidR="00802E3F">
        <w:t>for these</w:t>
      </w:r>
      <w:r w:rsidR="008047E6">
        <w:t xml:space="preserve"> private health insurance companies are set out by the Government in the</w:t>
      </w:r>
      <w:r w:rsidR="00745D00">
        <w:rPr>
          <w:b/>
          <w:bCs/>
        </w:rPr>
        <w:t xml:space="preserve"> </w:t>
      </w:r>
      <w:hyperlink r:id="rId15" w:history="1">
        <w:r w:rsidR="00E4152C">
          <w:rPr>
            <w:rStyle w:val="Hyperlink"/>
            <w:bCs/>
          </w:rPr>
          <w:t>OSHC D</w:t>
        </w:r>
        <w:r w:rsidR="000500B4" w:rsidRPr="006223D3">
          <w:rPr>
            <w:rStyle w:val="Hyperlink"/>
            <w:bCs/>
          </w:rPr>
          <w:t>eed</w:t>
        </w:r>
        <w:r w:rsidR="008047E6" w:rsidRPr="00BF3B0F">
          <w:rPr>
            <w:rStyle w:val="Hyperlink"/>
            <w:b w:val="0"/>
            <w:u w:val="none"/>
          </w:rPr>
          <w:t>.</w:t>
        </w:r>
        <w:r w:rsidR="00E4152C" w:rsidRPr="00BF3B0F" w:rsidDel="00E4152C">
          <w:rPr>
            <w:rStyle w:val="Hyperlink"/>
            <w:u w:val="none"/>
          </w:rPr>
          <w:t xml:space="preserve"> </w:t>
        </w:r>
      </w:hyperlink>
      <w:r w:rsidR="00897B6E">
        <w:t xml:space="preserve"> </w:t>
      </w:r>
    </w:p>
    <w:p w14:paraId="5ED59968" w14:textId="7A585C1F" w:rsidR="00A22CE8" w:rsidRDefault="008047E6" w:rsidP="009F1ABE">
      <w:r>
        <w:t>In</w:t>
      </w:r>
      <w:r w:rsidR="000F6DBA">
        <w:t xml:space="preserve"> 2011, the Deed </w:t>
      </w:r>
      <w:r w:rsidR="00D81ED5">
        <w:t>was changed to</w:t>
      </w:r>
      <w:r w:rsidR="000F6DBA">
        <w:t xml:space="preserve"> allow insurers to set a 12-month waiting period for pregnancy-related care</w:t>
      </w:r>
      <w:r w:rsidR="00D81ED5">
        <w:t xml:space="preserve">. </w:t>
      </w:r>
      <w:r w:rsidR="006172B0">
        <w:t>As a result</w:t>
      </w:r>
      <w:r w:rsidR="00074F05">
        <w:t>, many international students who became pregnant in the</w:t>
      </w:r>
      <w:r w:rsidR="006172B0">
        <w:t xml:space="preserve">ir first year </w:t>
      </w:r>
      <w:r w:rsidR="00074F05">
        <w:t xml:space="preserve">in Australia </w:t>
      </w:r>
      <w:r w:rsidR="006172B0">
        <w:t>faced significant barriers to accessing essential healthcare</w:t>
      </w:r>
      <w:r w:rsidR="00F24FE0">
        <w:t>, on top of existing challenges in navigating a complex health system and finding</w:t>
      </w:r>
      <w:r w:rsidR="006172B0">
        <w:t xml:space="preserve"> culturally and linguistically </w:t>
      </w:r>
      <w:r w:rsidR="00F24FE0">
        <w:t>responsive</w:t>
      </w:r>
      <w:r w:rsidR="006172B0">
        <w:t xml:space="preserve"> information and services</w:t>
      </w:r>
      <w:r w:rsidR="00074F05">
        <w:t xml:space="preserve">. </w:t>
      </w:r>
      <w:r w:rsidR="009F1ABE" w:rsidRPr="009F1ABE">
        <w:t>As MCWH has consistently highlighted</w:t>
      </w:r>
      <w:r w:rsidR="009F1ABE">
        <w:t>, t</w:t>
      </w:r>
      <w:r w:rsidR="00DF0F71">
        <w:t>his</w:t>
      </w:r>
      <w:r w:rsidR="00074F05">
        <w:t xml:space="preserve"> </w:t>
      </w:r>
      <w:r w:rsidR="008634D5">
        <w:t xml:space="preserve">was a clear example of gendered inequality and </w:t>
      </w:r>
      <w:r w:rsidR="00DF0F71">
        <w:t>had significant and harmful outcomes for</w:t>
      </w:r>
      <w:r w:rsidR="00897B6E">
        <w:t xml:space="preserve"> international students’ health</w:t>
      </w:r>
      <w:r w:rsidR="009F1ABE">
        <w:t xml:space="preserve"> and their sexual and reproductive rights</w:t>
      </w:r>
      <w:r w:rsidR="00414C23">
        <w:t>,</w:t>
      </w:r>
    </w:p>
    <w:p w14:paraId="1D91EC05" w14:textId="2B6A3168" w:rsidR="000F6DBA" w:rsidRDefault="000F6DBA" w:rsidP="00A22CE8">
      <w:r>
        <w:t xml:space="preserve">After </w:t>
      </w:r>
      <w:r w:rsidR="003023AF">
        <w:t>sustained</w:t>
      </w:r>
      <w:r>
        <w:t xml:space="preserve"> advocacy</w:t>
      </w:r>
      <w:r w:rsidR="004A0446">
        <w:t xml:space="preserve"> by MCWH, other concerned stakeholders and students themselves</w:t>
      </w:r>
      <w:r>
        <w:t xml:space="preserve">, in </w:t>
      </w:r>
      <w:r w:rsidR="009F1ABE">
        <w:t xml:space="preserve">July </w:t>
      </w:r>
      <w:r>
        <w:t xml:space="preserve">2025 the Government </w:t>
      </w:r>
      <w:r w:rsidR="00060117">
        <w:t xml:space="preserve">made </w:t>
      </w:r>
      <w:r w:rsidR="00A22CE8">
        <w:t>changes</w:t>
      </w:r>
      <w:r w:rsidR="00E315CD">
        <w:t xml:space="preserve"> to the Deed</w:t>
      </w:r>
      <w:r w:rsidR="00060117">
        <w:t>, including</w:t>
      </w:r>
      <w:r w:rsidR="00E315CD">
        <w:t>:</w:t>
      </w:r>
    </w:p>
    <w:p w14:paraId="5745F291" w14:textId="12DEF758" w:rsidR="00F24FE0" w:rsidRDefault="00F24FE0" w:rsidP="00BF3B0F">
      <w:pPr>
        <w:pStyle w:val="ListParagraph"/>
        <w:numPr>
          <w:ilvl w:val="0"/>
          <w:numId w:val="33"/>
        </w:numPr>
      </w:pPr>
      <w:r w:rsidRPr="00F24FE0">
        <w:t>Explicit inclusion of miscarriage and termination of pregnancy in the definition of pregnancy-related conditions</w:t>
      </w:r>
    </w:p>
    <w:p w14:paraId="1BDD8825" w14:textId="0EC39AC7" w:rsidR="00E77B61" w:rsidRDefault="00F24FE0" w:rsidP="00BF3B0F">
      <w:pPr>
        <w:pStyle w:val="ListParagraph"/>
        <w:numPr>
          <w:ilvl w:val="0"/>
          <w:numId w:val="33"/>
        </w:numPr>
      </w:pPr>
      <w:r w:rsidRPr="00F24FE0">
        <w:t>Removal of waiting periods for pregnancy-related care under OSHC policies of two years or more</w:t>
      </w:r>
    </w:p>
    <w:p w14:paraId="66978CCD" w14:textId="0115736D" w:rsidR="00D35E68" w:rsidRDefault="00F24FE0" w:rsidP="00BF3B0F">
      <w:pPr>
        <w:pStyle w:val="ListParagraph"/>
        <w:numPr>
          <w:ilvl w:val="0"/>
          <w:numId w:val="33"/>
        </w:numPr>
      </w:pPr>
      <w:r w:rsidRPr="00F24FE0">
        <w:t>Introduction of caps on commissions paid to third-party agents for non-healthcare services</w:t>
      </w:r>
    </w:p>
    <w:p w14:paraId="396C25D1" w14:textId="7F6163A8" w:rsidR="00F24FE0" w:rsidRDefault="00F24FE0" w:rsidP="00BF3B0F">
      <w:pPr>
        <w:pStyle w:val="DotPoints"/>
      </w:pPr>
      <w:r w:rsidRPr="00F24FE0">
        <w:t>Requirement for insurers to publish clear, standardised OSHC product information on privatehealth.gov.au</w:t>
      </w:r>
    </w:p>
    <w:p w14:paraId="1AD4BBBF" w14:textId="5BECBB32" w:rsidR="004A0446" w:rsidRDefault="00D35E68" w:rsidP="0099373D">
      <w:r>
        <w:t xml:space="preserve">MCWH </w:t>
      </w:r>
      <w:r w:rsidR="00CF3FD9">
        <w:t>welcomes</w:t>
      </w:r>
      <w:r>
        <w:t xml:space="preserve"> these</w:t>
      </w:r>
      <w:r w:rsidR="00765B38" w:rsidRPr="00DF18F3">
        <w:t xml:space="preserve"> changes </w:t>
      </w:r>
      <w:r w:rsidR="00FF7CAF">
        <w:t>a</w:t>
      </w:r>
      <w:r>
        <w:t>s</w:t>
      </w:r>
      <w:r w:rsidR="00FF7CAF">
        <w:t xml:space="preserve"> a </w:t>
      </w:r>
      <w:r w:rsidR="00C91F10">
        <w:t>positive step</w:t>
      </w:r>
      <w:r w:rsidR="00593F97" w:rsidRPr="00DF18F3">
        <w:t xml:space="preserve"> </w:t>
      </w:r>
      <w:r w:rsidR="00CB3C6E">
        <w:t xml:space="preserve">forward </w:t>
      </w:r>
      <w:r w:rsidR="00593F97" w:rsidRPr="00DF18F3">
        <w:t>fo</w:t>
      </w:r>
      <w:r w:rsidR="00606E0A" w:rsidRPr="00DF18F3">
        <w:t xml:space="preserve">r </w:t>
      </w:r>
      <w:r w:rsidR="00DF18F3" w:rsidRPr="00DF18F3">
        <w:t>international</w:t>
      </w:r>
      <w:r w:rsidR="00606E0A" w:rsidRPr="00DF18F3">
        <w:t xml:space="preserve"> students</w:t>
      </w:r>
      <w:r w:rsidR="00825A52" w:rsidRPr="00DF18F3">
        <w:t>’</w:t>
      </w:r>
      <w:r w:rsidR="00F90C40" w:rsidRPr="00DF18F3">
        <w:t xml:space="preserve"> </w:t>
      </w:r>
      <w:r w:rsidR="00CB3C6E">
        <w:t>access</w:t>
      </w:r>
      <w:r w:rsidR="00CB3C6E" w:rsidRPr="00DF18F3">
        <w:t xml:space="preserve"> </w:t>
      </w:r>
      <w:r w:rsidR="00DF18F3" w:rsidRPr="00DF18F3">
        <w:t>to sexual and reproductive healthcare</w:t>
      </w:r>
      <w:r w:rsidR="00060117">
        <w:t xml:space="preserve">, and </w:t>
      </w:r>
      <w:r w:rsidR="00074194">
        <w:t xml:space="preserve">as </w:t>
      </w:r>
      <w:r w:rsidR="00060117">
        <w:t xml:space="preserve">an </w:t>
      </w:r>
      <w:r w:rsidR="00074194">
        <w:t xml:space="preserve">example </w:t>
      </w:r>
      <w:r w:rsidR="00060117">
        <w:t xml:space="preserve">of the </w:t>
      </w:r>
      <w:r w:rsidR="00074194">
        <w:t xml:space="preserve">value and results </w:t>
      </w:r>
      <w:r w:rsidR="00060117">
        <w:t>of our advocacy</w:t>
      </w:r>
      <w:r w:rsidR="00DF18F3" w:rsidRPr="00DF18F3">
        <w:t xml:space="preserve">. </w:t>
      </w:r>
      <w:r w:rsidR="00074194">
        <w:t>The adjustments made in the 2025 Deed give more international students immediate access to pregnancy-related care on arrival in Australia and will</w:t>
      </w:r>
      <w:r w:rsidR="003B2A06">
        <w:t xml:space="preserve"> hopefully</w:t>
      </w:r>
      <w:r w:rsidR="00074194">
        <w:t xml:space="preserve"> </w:t>
      </w:r>
      <w:r w:rsidR="003B2A06">
        <w:t>increase</w:t>
      </w:r>
      <w:r w:rsidR="00074194">
        <w:t xml:space="preserve"> transparency and clarity around </w:t>
      </w:r>
      <w:r w:rsidR="003B2A06">
        <w:t>cover</w:t>
      </w:r>
      <w:r w:rsidR="00074194">
        <w:t xml:space="preserve"> for international students and health service providers.</w:t>
      </w:r>
    </w:p>
    <w:p w14:paraId="3CCB6864" w14:textId="7272B093" w:rsidR="0099373D" w:rsidRDefault="0099373D" w:rsidP="003B2A06">
      <w:r w:rsidRPr="0099373D">
        <w:lastRenderedPageBreak/>
        <w:t xml:space="preserve">However, despite these recent reforms, international students continue to face barriers in accessing healthcare. This paper outlines recommendations to </w:t>
      </w:r>
      <w:r>
        <w:t xml:space="preserve">strengthen healthcare access </w:t>
      </w:r>
      <w:r w:rsidR="00FB16EA">
        <w:t xml:space="preserve">and outcomes </w:t>
      </w:r>
      <w:r>
        <w:t>for international students.</w:t>
      </w:r>
    </w:p>
    <w:p w14:paraId="73497219" w14:textId="0A6DA8E8" w:rsidR="00721860" w:rsidRPr="00934A2B" w:rsidRDefault="00060117" w:rsidP="00AD1C72">
      <w:pPr>
        <w:pStyle w:val="Heading1"/>
        <w:rPr>
          <w:spacing w:val="-2"/>
        </w:rPr>
      </w:pPr>
      <w:r>
        <w:t>International students and health equity in Australia</w:t>
      </w:r>
    </w:p>
    <w:p w14:paraId="58A62E99" w14:textId="27DCD234" w:rsidR="00AD1C72" w:rsidRDefault="00AD1C72" w:rsidP="00AD1C72">
      <w:r>
        <w:t xml:space="preserve">International students vitally contribute to Australia’s social and economic fabric. </w:t>
      </w:r>
      <w:r w:rsidR="00721860">
        <w:t xml:space="preserve">In April 2025, </w:t>
      </w:r>
      <w:r w:rsidR="00D81ED5">
        <w:t xml:space="preserve">there were </w:t>
      </w:r>
      <w:r w:rsidR="00721860" w:rsidRPr="003B29AC">
        <w:t>794,113 international student</w:t>
      </w:r>
      <w:r w:rsidR="00721860">
        <w:t>s studying in Australia</w:t>
      </w:r>
      <w:r w:rsidR="00D81ED5">
        <w:t>.</w:t>
      </w:r>
      <w:r w:rsidR="00721860">
        <w:rPr>
          <w:rStyle w:val="EndnoteReference"/>
        </w:rPr>
        <w:endnoteReference w:id="2"/>
      </w:r>
      <w:r w:rsidR="00721860">
        <w:t xml:space="preserve"> </w:t>
      </w:r>
      <w:r w:rsidR="00D81ED5">
        <w:t xml:space="preserve">These students come </w:t>
      </w:r>
      <w:r w:rsidR="00721860">
        <w:t>from many countries, including China (23%), India (17%), Nepal (8%), Vietnam (5%) and Philippines (4%).</w:t>
      </w:r>
      <w:r w:rsidR="0040404F" w:rsidRPr="0040404F">
        <w:t xml:space="preserve"> </w:t>
      </w:r>
      <w:r>
        <w:t xml:space="preserve">In 2024 alone, they contributed </w:t>
      </w:r>
      <w:r w:rsidRPr="00861A85">
        <w:t>$51.5 billion to the Australian economy</w:t>
      </w:r>
      <w:r>
        <w:t>, through tuition fees and living expenses.</w:t>
      </w:r>
      <w:r>
        <w:rPr>
          <w:rStyle w:val="EndnoteReference"/>
        </w:rPr>
        <w:endnoteReference w:id="3"/>
      </w:r>
      <w:r>
        <w:t xml:space="preserve"> </w:t>
      </w:r>
      <w:r w:rsidR="00924A2E">
        <w:t>Additionally, i</w:t>
      </w:r>
      <w:r w:rsidR="003B2A06">
        <w:t>nternational students make a notable contribution to the labour market in Australia, particularly in accommodation, food</w:t>
      </w:r>
      <w:r w:rsidR="00924A2E">
        <w:t>,</w:t>
      </w:r>
      <w:r w:rsidR="003B2A06">
        <w:t xml:space="preserve"> </w:t>
      </w:r>
      <w:r w:rsidR="008B75E4">
        <w:t>construction</w:t>
      </w:r>
      <w:r w:rsidR="003B2A06">
        <w:t xml:space="preserve"> </w:t>
      </w:r>
      <w:r w:rsidR="00924A2E">
        <w:t>and</w:t>
      </w:r>
      <w:r w:rsidR="003B2A06">
        <w:t xml:space="preserve">, </w:t>
      </w:r>
      <w:r w:rsidR="003B2A06" w:rsidRPr="003B2A06">
        <w:t>increasing</w:t>
      </w:r>
      <w:r w:rsidR="00924A2E">
        <w:t xml:space="preserve">, </w:t>
      </w:r>
      <w:r w:rsidR="003B2A06" w:rsidRPr="003B2A06">
        <w:t>health care</w:t>
      </w:r>
      <w:r w:rsidR="008B75E4">
        <w:t xml:space="preserve"> and social assistance</w:t>
      </w:r>
      <w:r w:rsidR="003B2A06">
        <w:t>.</w:t>
      </w:r>
      <w:r w:rsidR="00924A2E">
        <w:rPr>
          <w:rStyle w:val="EndnoteReference"/>
        </w:rPr>
        <w:endnoteReference w:id="4"/>
      </w:r>
      <w:r w:rsidR="008B75E4">
        <w:rPr>
          <w:rStyle w:val="EndnoteReference"/>
        </w:rPr>
        <w:endnoteReference w:id="5"/>
      </w:r>
      <w:r w:rsidR="00924A2E">
        <w:t xml:space="preserve"> Researchers note that many international students will also add to the labour market beyond their</w:t>
      </w:r>
      <w:r w:rsidR="009465ED">
        <w:t xml:space="preserve"> </w:t>
      </w:r>
      <w:r w:rsidR="00924A2E">
        <w:t>contributions while studying</w:t>
      </w:r>
      <w:r w:rsidR="009465ED">
        <w:t xml:space="preserve">, by transitioning to graduate and other work visas. </w:t>
      </w:r>
    </w:p>
    <w:p w14:paraId="27A92A4A" w14:textId="15676C93" w:rsidR="009465ED" w:rsidRDefault="009465ED" w:rsidP="00AD1C72">
      <w:r>
        <w:t xml:space="preserve">Beyond their economic contribution, international students are an integral part of the social and cultural fabric of Australia, </w:t>
      </w:r>
      <w:r w:rsidR="008B75E4">
        <w:t>both during their stud</w:t>
      </w:r>
      <w:r w:rsidR="00AF62C6">
        <w:t>ies and, for the many international students who stay in Australia to work or live, for many years to come. In fact, many international students become future Australians, making up around one-third of Australia’s permanent resident intake.</w:t>
      </w:r>
      <w:r w:rsidR="00AF62C6">
        <w:rPr>
          <w:rStyle w:val="EndnoteReference"/>
        </w:rPr>
        <w:endnoteReference w:id="6"/>
      </w:r>
      <w:r w:rsidR="00AF62C6">
        <w:t xml:space="preserve"> They are and will be our friends, relatives, colleagues, community members and family.</w:t>
      </w:r>
    </w:p>
    <w:p w14:paraId="5850BA5C" w14:textId="1276FE42" w:rsidR="00AD1C72" w:rsidRDefault="00AD1C72" w:rsidP="00111A28">
      <w:r>
        <w:t xml:space="preserve">Yet, </w:t>
      </w:r>
      <w:r w:rsidR="00111A28">
        <w:t>despite their enormous contribution, international students continue to face systemic inequities in healthcare access and protections in Australia. A</w:t>
      </w:r>
      <w:r>
        <w:t xml:space="preserve">s temporary residents, international students are </w:t>
      </w:r>
      <w:r w:rsidR="00111A28">
        <w:t>excluded from</w:t>
      </w:r>
      <w:r>
        <w:t xml:space="preserve"> Medicar</w:t>
      </w:r>
      <w:r w:rsidR="00111A28">
        <w:t>e, leaving them dependent on private health insurance to meet their healthcare needs.</w:t>
      </w:r>
      <w:r>
        <w:t xml:space="preserve"> </w:t>
      </w:r>
      <w:r w:rsidR="00111A28">
        <w:t>S</w:t>
      </w:r>
      <w:r>
        <w:t>tudent visa</w:t>
      </w:r>
      <w:r w:rsidR="00111A28">
        <w:t>s</w:t>
      </w:r>
      <w:r>
        <w:t xml:space="preserve"> </w:t>
      </w:r>
      <w:r w:rsidR="00D4389B">
        <w:t xml:space="preserve">also </w:t>
      </w:r>
      <w:r>
        <w:t>restrict the number of hours that students can work in paid employment</w:t>
      </w:r>
      <w:r>
        <w:rPr>
          <w:rStyle w:val="EndnoteReference"/>
        </w:rPr>
        <w:endnoteReference w:id="7"/>
      </w:r>
      <w:r w:rsidR="00AB1D2A">
        <w:t xml:space="preserve">, </w:t>
      </w:r>
      <w:r>
        <w:t>which limits their capacity to earn and, in turn, makes out-of-pocket costs for healthcare unaffordable for many. Th</w:t>
      </w:r>
      <w:r w:rsidR="00111A28">
        <w:t>ese challenges are not new, but became starkly</w:t>
      </w:r>
      <w:r>
        <w:t xml:space="preserve"> </w:t>
      </w:r>
      <w:r w:rsidR="00111A28">
        <w:t>apparent</w:t>
      </w:r>
      <w:r>
        <w:t xml:space="preserve"> during COVID-19, when many international students were unable to afford essentials including food, medicine and secure housing. The pandemic exposed how structural inequities in healthcare, visa policy and social supports put international students’ health at risk.</w:t>
      </w:r>
      <w:r>
        <w:rPr>
          <w:rStyle w:val="EndnoteReference"/>
        </w:rPr>
        <w:endnoteReference w:id="8"/>
      </w:r>
      <w:r w:rsidRPr="000E1A37">
        <w:rPr>
          <w:rStyle w:val="EndnoteReference"/>
        </w:rPr>
        <w:t xml:space="preserve"> </w:t>
      </w:r>
      <w:r>
        <w:rPr>
          <w:rStyle w:val="EndnoteReference"/>
        </w:rPr>
        <w:endnoteReference w:id="9"/>
      </w:r>
      <w:r w:rsidRPr="00BF3B0F">
        <w:rPr>
          <w:rStyle w:val="EndnoteReference"/>
          <w:vertAlign w:val="baseline"/>
        </w:rPr>
        <w:t xml:space="preserve"> </w:t>
      </w:r>
    </w:p>
    <w:p w14:paraId="50446163" w14:textId="7AED7865" w:rsidR="00E77B61" w:rsidRPr="00721860" w:rsidRDefault="00AF62C6" w:rsidP="00BF3B0F">
      <w:r>
        <w:t xml:space="preserve">Research indicates that international </w:t>
      </w:r>
      <w:r w:rsidR="00A200E8">
        <w:t xml:space="preserve">students </w:t>
      </w:r>
      <w:r>
        <w:t>may have lower levels of sexual and reproductive health knowledge and sexually transmitted infection (STI) testing, which may make them more likely to experience unintended pregnancy, sexual assault and STIs</w:t>
      </w:r>
      <w:r w:rsidR="006F6793">
        <w:t>.</w:t>
      </w:r>
      <w:r w:rsidR="00A200E8">
        <w:rPr>
          <w:rStyle w:val="EndnoteReference"/>
        </w:rPr>
        <w:endnoteReference w:id="10"/>
      </w:r>
      <w:r w:rsidR="00A200E8">
        <w:t xml:space="preserve"> </w:t>
      </w:r>
      <w:r w:rsidR="005B7BAB">
        <w:t>Yet, they also face</w:t>
      </w:r>
      <w:r w:rsidR="00BE0888">
        <w:t xml:space="preserve"> significant barriers to accessing sexual and reproductive health services. </w:t>
      </w:r>
      <w:r w:rsidR="00AD1C72">
        <w:t>Research shows that international students forgo or delay necessary sexual and reproductive healthcare due to h</w:t>
      </w:r>
      <w:r w:rsidR="00AD1C72" w:rsidRPr="0093000C">
        <w:t xml:space="preserve">igh costs, language barriers, </w:t>
      </w:r>
      <w:r w:rsidR="005B7BAB">
        <w:t>experiences of racism</w:t>
      </w:r>
      <w:r w:rsidR="00DF0F71">
        <w:t xml:space="preserve"> and</w:t>
      </w:r>
      <w:r w:rsidR="005B7BAB">
        <w:t xml:space="preserve"> bias, </w:t>
      </w:r>
      <w:r w:rsidR="00AD1C72" w:rsidRPr="0093000C">
        <w:t>lack of tailored information, short consultation times, and poor continuity of care</w:t>
      </w:r>
      <w:r w:rsidR="00AD1C72">
        <w:t>.</w:t>
      </w:r>
      <w:r w:rsidR="00AD1C72">
        <w:rPr>
          <w:rStyle w:val="EndnoteReference"/>
        </w:rPr>
        <w:endnoteReference w:id="11"/>
      </w:r>
      <w:r w:rsidR="005B7BAB">
        <w:t xml:space="preserve"> </w:t>
      </w:r>
      <w:r w:rsidR="005B7BAB">
        <w:rPr>
          <w:rStyle w:val="EndnoteReference"/>
        </w:rPr>
        <w:endnoteReference w:id="12"/>
      </w:r>
      <w:r w:rsidR="005B7BAB">
        <w:t xml:space="preserve"> </w:t>
      </w:r>
      <w:r w:rsidR="005B7BAB">
        <w:rPr>
          <w:rStyle w:val="EndnoteReference"/>
        </w:rPr>
        <w:endnoteReference w:id="13"/>
      </w:r>
    </w:p>
    <w:p w14:paraId="05770DA1" w14:textId="67B1C21D" w:rsidR="00452E47" w:rsidRDefault="0093000C" w:rsidP="005B7BAB">
      <w:pPr>
        <w:pStyle w:val="Heading1"/>
      </w:pPr>
      <w:r>
        <w:t>MCWH’s</w:t>
      </w:r>
      <w:r w:rsidR="007C10E2" w:rsidRPr="007C10E2">
        <w:t xml:space="preserve"> advoc</w:t>
      </w:r>
      <w:r>
        <w:t>acy</w:t>
      </w:r>
      <w:r w:rsidR="007C10E2" w:rsidRPr="007C10E2">
        <w:t xml:space="preserve"> </w:t>
      </w:r>
      <w:r w:rsidR="00060117">
        <w:t xml:space="preserve">and the case </w:t>
      </w:r>
      <w:r w:rsidR="003023AF">
        <w:t>for OSHC</w:t>
      </w:r>
      <w:r w:rsidR="00060117">
        <w:t xml:space="preserve"> reform</w:t>
      </w:r>
    </w:p>
    <w:p w14:paraId="5B8DBC92" w14:textId="259A204E" w:rsidR="005B7BAB" w:rsidRPr="005B7BAB" w:rsidRDefault="003023AF" w:rsidP="005B7BAB">
      <w:r>
        <w:t xml:space="preserve">The Australian Government requires </w:t>
      </w:r>
      <w:r w:rsidR="006F6793">
        <w:t>international students</w:t>
      </w:r>
      <w:r>
        <w:t xml:space="preserve"> to</w:t>
      </w:r>
      <w:r w:rsidR="005B7BAB" w:rsidRPr="005B7BAB">
        <w:t xml:space="preserve"> purchase Overseas Student Health Cover (OSHC) for the duration of their stay in Australia, to meet the costs of unplanned medical and hospital costs, which they and/or their dependents may need while undertaking formal studies in Australia. </w:t>
      </w:r>
    </w:p>
    <w:p w14:paraId="75642FE3" w14:textId="5B69C5F4" w:rsidR="003D5998" w:rsidRDefault="005B7BAB" w:rsidP="00713382">
      <w:r w:rsidRPr="005B7BAB">
        <w:lastRenderedPageBreak/>
        <w:t>OSHC is provided by</w:t>
      </w:r>
      <w:r w:rsidR="00713382">
        <w:t xml:space="preserve"> registered Australian</w:t>
      </w:r>
      <w:r w:rsidRPr="005B7BAB">
        <w:t xml:space="preserve"> private health insurers, and includes coverage for medical and hospital care, ambulance services, and some pharmaceutical items.</w:t>
      </w:r>
      <w:r w:rsidR="00713382">
        <w:t xml:space="preserve"> Those</w:t>
      </w:r>
      <w:r w:rsidRPr="005B7BAB">
        <w:t xml:space="preserve"> insurers must comply with the conditions set out in the </w:t>
      </w:r>
      <w:hyperlink r:id="rId16" w:history="1">
        <w:r w:rsidR="003D5998" w:rsidRPr="000F6DBA">
          <w:rPr>
            <w:rStyle w:val="Hyperlink"/>
          </w:rPr>
          <w:t>Deed for the Provision of Overseas Student Health Cover (OSHC Deed)</w:t>
        </w:r>
      </w:hyperlink>
      <w:r w:rsidR="00713382">
        <w:t xml:space="preserve">, which </w:t>
      </w:r>
      <w:r w:rsidR="003D5998">
        <w:t xml:space="preserve">is managed by the Department of Health and is periodically updated and extended. </w:t>
      </w:r>
    </w:p>
    <w:p w14:paraId="2FB10E81" w14:textId="45F612B1" w:rsidR="00713382" w:rsidRDefault="000D0342" w:rsidP="006662C8">
      <w:r>
        <w:t>The first OSHC Deed</w:t>
      </w:r>
      <w:r w:rsidR="00A22CE8">
        <w:t>, which</w:t>
      </w:r>
      <w:r>
        <w:t xml:space="preserve"> </w:t>
      </w:r>
      <w:r w:rsidR="00A22CE8">
        <w:t>was signed</w:t>
      </w:r>
      <w:r w:rsidR="00E9155E">
        <w:t xml:space="preserve"> in 2000</w:t>
      </w:r>
      <w:r w:rsidR="00A22CE8">
        <w:t>,</w:t>
      </w:r>
      <w:r w:rsidR="00550270">
        <w:rPr>
          <w:rStyle w:val="EndnoteReference"/>
        </w:rPr>
        <w:endnoteReference w:id="14"/>
      </w:r>
      <w:r w:rsidR="00A22CE8">
        <w:t xml:space="preserve"> </w:t>
      </w:r>
      <w:r w:rsidR="006662C8">
        <w:t>did not set</w:t>
      </w:r>
      <w:r w:rsidR="00A22CE8">
        <w:t xml:space="preserve"> </w:t>
      </w:r>
      <w:r w:rsidR="00713382">
        <w:t xml:space="preserve">any </w:t>
      </w:r>
      <w:r w:rsidR="006662C8">
        <w:t>waiting</w:t>
      </w:r>
      <w:r w:rsidR="001803EC">
        <w:t xml:space="preserve"> </w:t>
      </w:r>
      <w:r w:rsidR="006662C8">
        <w:t>periods</w:t>
      </w:r>
      <w:r w:rsidR="00152671">
        <w:t xml:space="preserve"> for international students to be</w:t>
      </w:r>
      <w:r w:rsidR="00A22CE8">
        <w:t xml:space="preserve"> </w:t>
      </w:r>
      <w:r w:rsidR="006662C8">
        <w:t>cover</w:t>
      </w:r>
      <w:r w:rsidR="00152671">
        <w:t>ed</w:t>
      </w:r>
      <w:r w:rsidR="006662C8">
        <w:t xml:space="preserve"> for </w:t>
      </w:r>
      <w:r w:rsidR="00A22CE8">
        <w:t>pregnancy-related care</w:t>
      </w:r>
      <w:r w:rsidR="006E3F61">
        <w:t>. This</w:t>
      </w:r>
      <w:r w:rsidR="00713382">
        <w:t xml:space="preserve"> remained the case until 2011</w:t>
      </w:r>
      <w:r w:rsidR="00A22CE8">
        <w:t xml:space="preserve">. </w:t>
      </w:r>
    </w:p>
    <w:p w14:paraId="72045E29" w14:textId="455DD404" w:rsidR="006662C8" w:rsidRDefault="00713382" w:rsidP="006662C8">
      <w:r>
        <w:t>However, in 2010, s</w:t>
      </w:r>
      <w:r w:rsidR="006662C8">
        <w:t xml:space="preserve">ubmissions </w:t>
      </w:r>
      <w:r>
        <w:t xml:space="preserve">were </w:t>
      </w:r>
      <w:r w:rsidR="006662C8">
        <w:t>made</w:t>
      </w:r>
      <w:r w:rsidR="006662C8" w:rsidRPr="009F2F45">
        <w:t xml:space="preserve"> to the Australian Government</w:t>
      </w:r>
      <w:r w:rsidR="0008473F">
        <w:t xml:space="preserve"> highlighting the </w:t>
      </w:r>
      <w:r w:rsidR="004B638D" w:rsidRPr="004B638D">
        <w:t>cost to OSHC providers of pregnancy-related care for international students.</w:t>
      </w:r>
      <w:r w:rsidR="004B638D">
        <w:t xml:space="preserve"> </w:t>
      </w:r>
      <w:r w:rsidR="0008473F">
        <w:t xml:space="preserve">These submissions reported that </w:t>
      </w:r>
      <w:r w:rsidR="006662C8" w:rsidRPr="009F2F45">
        <w:t>33-48</w:t>
      </w:r>
      <w:r w:rsidR="006662C8">
        <w:t xml:space="preserve"> percent</w:t>
      </w:r>
      <w:r w:rsidR="006662C8" w:rsidRPr="009F2F45">
        <w:t xml:space="preserve"> of OSHC claims were for pregnancy</w:t>
      </w:r>
      <w:r w:rsidR="009977E2">
        <w:t>-related</w:t>
      </w:r>
      <w:r w:rsidR="009977E2" w:rsidRPr="009977E2">
        <w:t xml:space="preserve"> </w:t>
      </w:r>
      <w:r w:rsidR="009977E2" w:rsidRPr="009F2F45">
        <w:t>hospital items</w:t>
      </w:r>
      <w:r w:rsidR="0008473F">
        <w:t>,</w:t>
      </w:r>
      <w:r w:rsidR="006662C8" w:rsidRPr="009F2F45">
        <w:t xml:space="preserve"> </w:t>
      </w:r>
      <w:r w:rsidR="0008473F">
        <w:t>and m</w:t>
      </w:r>
      <w:r w:rsidR="006662C8" w:rsidRPr="009F2F45">
        <w:t>ore than 70</w:t>
      </w:r>
      <w:r w:rsidR="006662C8">
        <w:t xml:space="preserve"> percent</w:t>
      </w:r>
      <w:r w:rsidR="006662C8" w:rsidRPr="009F2F45">
        <w:t xml:space="preserve"> of </w:t>
      </w:r>
      <w:r w:rsidR="006662C8">
        <w:t xml:space="preserve">OSHC </w:t>
      </w:r>
      <w:r w:rsidR="006662C8" w:rsidRPr="009F2F45">
        <w:t xml:space="preserve">claims </w:t>
      </w:r>
      <w:r w:rsidR="009977E2">
        <w:t xml:space="preserve">related to pregnancy </w:t>
      </w:r>
      <w:r w:rsidR="006662C8" w:rsidRPr="009F2F45">
        <w:t xml:space="preserve">occurred in the first 12 months of </w:t>
      </w:r>
      <w:r w:rsidR="006662C8">
        <w:t>international students’ stay</w:t>
      </w:r>
      <w:r w:rsidR="006662C8" w:rsidRPr="009F2F45">
        <w:t>.</w:t>
      </w:r>
      <w:r w:rsidR="0008473F">
        <w:rPr>
          <w:rStyle w:val="EndnoteReference"/>
        </w:rPr>
        <w:endnoteReference w:id="15"/>
      </w:r>
      <w:r w:rsidR="0008473F">
        <w:t xml:space="preserve"> This data was used to argue that pregnancy-related care raised the cost of health cover for all </w:t>
      </w:r>
      <w:r w:rsidR="006F6793">
        <w:t>international students</w:t>
      </w:r>
      <w:r w:rsidR="0008473F">
        <w:t xml:space="preserve">, but failed to account for students’ lack of access to other affordable care options if they became pregnant. </w:t>
      </w:r>
    </w:p>
    <w:p w14:paraId="793A3CDB" w14:textId="1A617A83" w:rsidR="0013775D" w:rsidRDefault="00A22CE8" w:rsidP="006662C8">
      <w:r>
        <w:t xml:space="preserve">In </w:t>
      </w:r>
      <w:r w:rsidR="00713382">
        <w:t xml:space="preserve">response, in </w:t>
      </w:r>
      <w:r>
        <w:t xml:space="preserve">2011, the Government </w:t>
      </w:r>
      <w:r w:rsidR="00152671">
        <w:t xml:space="preserve">changed the </w:t>
      </w:r>
      <w:r w:rsidR="00713382">
        <w:t xml:space="preserve">OSHC </w:t>
      </w:r>
      <w:r w:rsidR="00152671">
        <w:t xml:space="preserve">Deed to </w:t>
      </w:r>
      <w:r>
        <w:t>allow health insurers to wait 12</w:t>
      </w:r>
      <w:r w:rsidR="00152671">
        <w:t xml:space="preserve"> </w:t>
      </w:r>
      <w:r>
        <w:t xml:space="preserve">months before covering </w:t>
      </w:r>
      <w:r w:rsidR="006662C8">
        <w:t xml:space="preserve">non-emergency, </w:t>
      </w:r>
      <w:r>
        <w:t xml:space="preserve">pregnancy-related </w:t>
      </w:r>
      <w:r w:rsidR="006662C8">
        <w:t>health</w:t>
      </w:r>
      <w:r>
        <w:t>care</w:t>
      </w:r>
      <w:r w:rsidR="006662C8">
        <w:t>.</w:t>
      </w:r>
      <w:r w:rsidR="00462067">
        <w:t xml:space="preserve"> </w:t>
      </w:r>
      <w:r w:rsidR="00353BFE">
        <w:t xml:space="preserve">This included </w:t>
      </w:r>
      <w:r w:rsidR="00462067">
        <w:t>birth</w:t>
      </w:r>
      <w:r w:rsidR="00353BFE">
        <w:t>, which</w:t>
      </w:r>
      <w:r w:rsidR="00462067">
        <w:t xml:space="preserve"> </w:t>
      </w:r>
      <w:r w:rsidR="003F280E">
        <w:t>was</w:t>
      </w:r>
      <w:r w:rsidR="00462067">
        <w:t xml:space="preserve"> not </w:t>
      </w:r>
      <w:r w:rsidR="009977E2">
        <w:t>recognised under</w:t>
      </w:r>
      <w:r w:rsidR="00462067">
        <w:t xml:space="preserve"> the OSHC Deed as </w:t>
      </w:r>
      <w:r w:rsidR="009977E2">
        <w:t>an</w:t>
      </w:r>
      <w:r w:rsidR="00152671">
        <w:t xml:space="preserve"> </w:t>
      </w:r>
      <w:r w:rsidR="00462067">
        <w:t xml:space="preserve">emergency </w:t>
      </w:r>
      <w:r w:rsidR="009977E2">
        <w:t>condition</w:t>
      </w:r>
      <w:r w:rsidR="00462067">
        <w:t>.</w:t>
      </w:r>
    </w:p>
    <w:p w14:paraId="7A1623F6" w14:textId="480377F9" w:rsidR="008F5B92" w:rsidRDefault="00133F74" w:rsidP="00BF3B0F">
      <w:r>
        <w:t xml:space="preserve">As a result of this change </w:t>
      </w:r>
      <w:r w:rsidR="00152671">
        <w:t>to</w:t>
      </w:r>
      <w:r w:rsidR="006662C8">
        <w:t xml:space="preserve"> </w:t>
      </w:r>
      <w:r>
        <w:t>the Deed</w:t>
      </w:r>
      <w:r w:rsidR="00D463EE">
        <w:t>,</w:t>
      </w:r>
      <w:r w:rsidR="00462067">
        <w:t xml:space="preserve"> </w:t>
      </w:r>
      <w:r w:rsidR="006662C8">
        <w:t>an i</w:t>
      </w:r>
      <w:r w:rsidR="00462067">
        <w:t>nternational student</w:t>
      </w:r>
      <w:r w:rsidR="00152671">
        <w:t xml:space="preserve"> </w:t>
      </w:r>
      <w:r w:rsidR="008F5B92">
        <w:t xml:space="preserve">or their partner </w:t>
      </w:r>
      <w:r w:rsidR="00152671">
        <w:t>who</w:t>
      </w:r>
      <w:r w:rsidR="005D19F2">
        <w:t xml:space="preserve"> </w:t>
      </w:r>
      <w:r w:rsidR="006662C8">
        <w:t>became pregnant in</w:t>
      </w:r>
      <w:r w:rsidR="00462067">
        <w:t xml:space="preserve"> the first 12 months </w:t>
      </w:r>
      <w:r w:rsidR="005D19F2">
        <w:t>of their stay</w:t>
      </w:r>
      <w:r w:rsidR="00462067">
        <w:t xml:space="preserve"> in Australia</w:t>
      </w:r>
      <w:r w:rsidR="00E81748">
        <w:t>n</w:t>
      </w:r>
      <w:r w:rsidR="001136B5">
        <w:t xml:space="preserve"> faced </w:t>
      </w:r>
      <w:r w:rsidR="005D19F2">
        <w:t>l</w:t>
      </w:r>
      <w:r w:rsidR="00462067">
        <w:t xml:space="preserve">imited choices </w:t>
      </w:r>
      <w:r w:rsidR="007131D9">
        <w:t>and high</w:t>
      </w:r>
      <w:r w:rsidR="00462067">
        <w:t xml:space="preserve"> out-of-pocket costs </w:t>
      </w:r>
      <w:r w:rsidR="005D19F2">
        <w:t>to access</w:t>
      </w:r>
      <w:r w:rsidR="00462067">
        <w:t xml:space="preserve"> </w:t>
      </w:r>
      <w:r w:rsidR="005D19F2">
        <w:t xml:space="preserve">pregnancy-related </w:t>
      </w:r>
      <w:r w:rsidR="00462067">
        <w:t>care.</w:t>
      </w:r>
      <w:r w:rsidR="004A7E48">
        <w:t xml:space="preserve"> </w:t>
      </w:r>
      <w:r w:rsidR="008F5B92">
        <w:t>It was a</w:t>
      </w:r>
      <w:r w:rsidR="008634D5">
        <w:t xml:space="preserve"> policy decision </w:t>
      </w:r>
      <w:r w:rsidR="008F5B92">
        <w:t xml:space="preserve">that unambiguously and </w:t>
      </w:r>
      <w:r w:rsidR="008634D5">
        <w:t xml:space="preserve">disproportionately impacted </w:t>
      </w:r>
      <w:r w:rsidR="008F5B92">
        <w:t xml:space="preserve">and disadvantaged </w:t>
      </w:r>
      <w:r w:rsidR="008634D5">
        <w:t>women</w:t>
      </w:r>
      <w:r w:rsidR="008F5B92">
        <w:t xml:space="preserve">, as well as having ramifications for partners and families. Although the Deed </w:t>
      </w:r>
      <w:r w:rsidR="008634D5">
        <w:t xml:space="preserve">allowed health insurers to waiver the 12-month waiting period, there was no incentive for them to do so. </w:t>
      </w:r>
    </w:p>
    <w:p w14:paraId="71022C4D" w14:textId="20FF380E" w:rsidR="00E71EE1" w:rsidRDefault="005D19F2" w:rsidP="00BF3B0F">
      <w:r>
        <w:t xml:space="preserve">Through </w:t>
      </w:r>
      <w:r w:rsidR="00E81748">
        <w:t xml:space="preserve">MCWH’s </w:t>
      </w:r>
      <w:r>
        <w:t>research</w:t>
      </w:r>
      <w:r w:rsidR="007C196B">
        <w:t>,</w:t>
      </w:r>
      <w:r>
        <w:t xml:space="preserve"> and </w:t>
      </w:r>
      <w:r w:rsidR="00E81748">
        <w:t>personal accounts from</w:t>
      </w:r>
      <w:r>
        <w:t xml:space="preserve"> many i</w:t>
      </w:r>
      <w:r w:rsidR="00A42AF3">
        <w:t>nternational students</w:t>
      </w:r>
      <w:r>
        <w:t xml:space="preserve"> directly seeking support and advice, </w:t>
      </w:r>
      <w:r w:rsidR="00E81748">
        <w:t>we</w:t>
      </w:r>
      <w:r>
        <w:t xml:space="preserve"> </w:t>
      </w:r>
      <w:r w:rsidR="007C196B">
        <w:t>learned</w:t>
      </w:r>
      <w:r>
        <w:t xml:space="preserve"> that </w:t>
      </w:r>
      <w:r w:rsidR="00E81748">
        <w:t>the waiting</w:t>
      </w:r>
      <w:r w:rsidR="001803EC">
        <w:t xml:space="preserve"> </w:t>
      </w:r>
      <w:r w:rsidR="00E81748">
        <w:t>period created and increased</w:t>
      </w:r>
      <w:r w:rsidR="007C196B">
        <w:t xml:space="preserve"> </w:t>
      </w:r>
      <w:r>
        <w:t>barriers to pregnancy-related care</w:t>
      </w:r>
      <w:r w:rsidR="00E81748">
        <w:t>. This led to</w:t>
      </w:r>
      <w:r w:rsidR="007C196B">
        <w:t xml:space="preserve"> </w:t>
      </w:r>
      <w:r>
        <w:t>negative outcomes</w:t>
      </w:r>
      <w:r w:rsidR="00E81748">
        <w:t>, which included</w:t>
      </w:r>
      <w:r>
        <w:t>:</w:t>
      </w:r>
      <w:r w:rsidR="00550270">
        <w:rPr>
          <w:rStyle w:val="EndnoteReference"/>
        </w:rPr>
        <w:endnoteReference w:id="16"/>
      </w:r>
      <w:r w:rsidR="00550270">
        <w:t xml:space="preserve"> </w:t>
      </w:r>
    </w:p>
    <w:p w14:paraId="657FF852" w14:textId="74E90F94" w:rsidR="007C196B" w:rsidRDefault="007C196B" w:rsidP="007C196B">
      <w:pPr>
        <w:pStyle w:val="ListParagraph"/>
        <w:numPr>
          <w:ilvl w:val="0"/>
          <w:numId w:val="2"/>
        </w:numPr>
      </w:pPr>
      <w:r>
        <w:t>little or no antenatal care</w:t>
      </w:r>
    </w:p>
    <w:p w14:paraId="16C26000" w14:textId="2C079D00" w:rsidR="007C196B" w:rsidRDefault="009977E2" w:rsidP="007C196B">
      <w:pPr>
        <w:pStyle w:val="ListParagraph"/>
        <w:numPr>
          <w:ilvl w:val="0"/>
          <w:numId w:val="2"/>
        </w:numPr>
      </w:pPr>
      <w:r>
        <w:t xml:space="preserve">preventable </w:t>
      </w:r>
      <w:r w:rsidR="007C196B">
        <w:t>health complications for mother and baby</w:t>
      </w:r>
    </w:p>
    <w:p w14:paraId="7D90BE8C" w14:textId="3B1EC2C5" w:rsidR="007C196B" w:rsidRDefault="009977E2">
      <w:pPr>
        <w:pStyle w:val="ListParagraph"/>
        <w:numPr>
          <w:ilvl w:val="0"/>
          <w:numId w:val="2"/>
        </w:numPr>
      </w:pPr>
      <w:r>
        <w:t xml:space="preserve">high </w:t>
      </w:r>
      <w:r w:rsidR="007C196B">
        <w:t xml:space="preserve">out-of-pocket costs </w:t>
      </w:r>
      <w:r>
        <w:t>for</w:t>
      </w:r>
      <w:r w:rsidR="007C196B">
        <w:t xml:space="preserve"> </w:t>
      </w:r>
      <w:r w:rsidR="00E77B61">
        <w:t xml:space="preserve">care or </w:t>
      </w:r>
      <w:r w:rsidR="007C196B">
        <w:t>termination,</w:t>
      </w:r>
      <w:r w:rsidR="00E77B61">
        <w:t xml:space="preserve"> </w:t>
      </w:r>
      <w:r>
        <w:t>causing</w:t>
      </w:r>
      <w:r w:rsidR="00E77B61">
        <w:t xml:space="preserve"> financial and psychological stress</w:t>
      </w:r>
    </w:p>
    <w:p w14:paraId="04C9C860" w14:textId="269E8B04" w:rsidR="00E81748" w:rsidRDefault="009977E2" w:rsidP="00BF3B0F">
      <w:pPr>
        <w:pStyle w:val="ListParagraph"/>
        <w:numPr>
          <w:ilvl w:val="0"/>
          <w:numId w:val="2"/>
        </w:numPr>
      </w:pPr>
      <w:r>
        <w:t>pressure to</w:t>
      </w:r>
      <w:r w:rsidR="00E81748">
        <w:t xml:space="preserve"> terminate pregnancy</w:t>
      </w:r>
      <w:r>
        <w:t xml:space="preserve"> due to lack of support and options</w:t>
      </w:r>
    </w:p>
    <w:p w14:paraId="479DA10D" w14:textId="1DFD6A01" w:rsidR="007C196B" w:rsidRPr="00B81770" w:rsidRDefault="007C196B" w:rsidP="007C196B">
      <w:pPr>
        <w:pStyle w:val="ListParagraph"/>
        <w:numPr>
          <w:ilvl w:val="0"/>
          <w:numId w:val="2"/>
        </w:numPr>
      </w:pPr>
      <w:r>
        <w:t xml:space="preserve">life-threatening health risks from </w:t>
      </w:r>
      <w:r w:rsidR="009977E2">
        <w:t>unsafe</w:t>
      </w:r>
      <w:r>
        <w:t xml:space="preserve"> termination</w:t>
      </w:r>
    </w:p>
    <w:p w14:paraId="738E26BD" w14:textId="77185C58" w:rsidR="009977E2" w:rsidRDefault="007C196B" w:rsidP="009977E2">
      <w:pPr>
        <w:pStyle w:val="ListParagraph"/>
        <w:numPr>
          <w:ilvl w:val="0"/>
          <w:numId w:val="2"/>
        </w:numPr>
      </w:pPr>
      <w:r>
        <w:t>interrupt</w:t>
      </w:r>
      <w:r w:rsidR="009977E2">
        <w:t>ed</w:t>
      </w:r>
      <w:r>
        <w:t xml:space="preserve"> or abandon</w:t>
      </w:r>
      <w:r w:rsidR="009977E2">
        <w:t>ed</w:t>
      </w:r>
      <w:r>
        <w:t xml:space="preserve"> studies, </w:t>
      </w:r>
      <w:r w:rsidR="009977E2">
        <w:t>affec</w:t>
      </w:r>
      <w:r>
        <w:t xml:space="preserve">ting </w:t>
      </w:r>
      <w:r w:rsidR="006E3F61">
        <w:t xml:space="preserve">students’ </w:t>
      </w:r>
      <w:r>
        <w:t>future</w:t>
      </w:r>
      <w:r w:rsidR="006E3F61">
        <w:t xml:space="preserve"> opportunities</w:t>
      </w:r>
    </w:p>
    <w:p w14:paraId="33385644" w14:textId="3439C212" w:rsidR="005B27E8" w:rsidRDefault="00C7079B">
      <w:r>
        <w:t>In addition, MCWH found that international students’ ability to make informed decisions in relation to their sexual and reproductive health could be impacted by their age, health literacy, understanding of sexual and reproductive health, length of time in Australia, as well as intimate partner and other forms of violence and social isolation.</w:t>
      </w:r>
      <w:r>
        <w:rPr>
          <w:rStyle w:val="EndnoteReference"/>
        </w:rPr>
        <w:endnoteReference w:id="17"/>
      </w:r>
    </w:p>
    <w:p w14:paraId="5B496D39" w14:textId="53F72D55" w:rsidR="007C196B" w:rsidRDefault="00AB1D2A" w:rsidP="00BF3B0F">
      <w:r w:rsidRPr="00AB1D2A">
        <w:t>These experiences informed MCWH’s ongoing advocacy, leading to several long-sought changes in the 2025 OSHC Deed</w:t>
      </w:r>
      <w:r>
        <w:t>.</w:t>
      </w:r>
    </w:p>
    <w:p w14:paraId="379AB0A4" w14:textId="7DA60D26" w:rsidR="00821895" w:rsidRDefault="00060117" w:rsidP="00821895">
      <w:pPr>
        <w:pStyle w:val="Heading1"/>
      </w:pPr>
      <w:r>
        <w:t>Progress made in</w:t>
      </w:r>
      <w:r w:rsidR="00821895" w:rsidRPr="00821895">
        <w:t xml:space="preserve"> the 2025 OSHC </w:t>
      </w:r>
      <w:r w:rsidR="00A73129">
        <w:t>Deed</w:t>
      </w:r>
    </w:p>
    <w:p w14:paraId="63254F1E" w14:textId="5ACA750A" w:rsidR="0062763C" w:rsidRDefault="00713382" w:rsidP="00AB1D2A">
      <w:r>
        <w:t xml:space="preserve">Since 2013, MCWH has consistently called for changes to the Deed to protect international students’ reproductive rights. </w:t>
      </w:r>
      <w:r w:rsidR="00837799">
        <w:t>I</w:t>
      </w:r>
      <w:r>
        <w:t>n May 2024, t</w:t>
      </w:r>
      <w:r w:rsidRPr="0013775D">
        <w:t xml:space="preserve">he Department of Health </w:t>
      </w:r>
      <w:r>
        <w:t>released</w:t>
      </w:r>
      <w:r w:rsidRPr="0013775D">
        <w:t xml:space="preserve"> an </w:t>
      </w:r>
      <w:r w:rsidRPr="00BF3B0F">
        <w:t xml:space="preserve">Issues Paper </w:t>
      </w:r>
      <w:r>
        <w:t>seeking</w:t>
      </w:r>
      <w:r w:rsidRPr="0013775D">
        <w:t xml:space="preserve"> </w:t>
      </w:r>
      <w:r w:rsidRPr="0013775D">
        <w:lastRenderedPageBreak/>
        <w:t>stakeholder</w:t>
      </w:r>
      <w:r>
        <w:t xml:space="preserve"> input on</w:t>
      </w:r>
      <w:r w:rsidRPr="0013775D">
        <w:t xml:space="preserve"> proposed amendments to the 2025 Deed. </w:t>
      </w:r>
      <w:r>
        <w:t>Following consultation</w:t>
      </w:r>
      <w:r w:rsidRPr="0013775D">
        <w:t>,</w:t>
      </w:r>
      <w:r w:rsidRPr="00BF3B0F">
        <w:rPr>
          <w:vertAlign w:val="superscript"/>
        </w:rPr>
        <w:endnoteReference w:id="18"/>
      </w:r>
      <w:r w:rsidRPr="00D4389B">
        <w:rPr>
          <w:vertAlign w:val="superscript"/>
        </w:rPr>
        <w:t xml:space="preserve"> </w:t>
      </w:r>
      <w:r w:rsidR="00AB1D2A">
        <w:t>in which MCWH participated, a</w:t>
      </w:r>
      <w:r w:rsidRPr="0013775D">
        <w:t xml:space="preserve"> new Deed was signed on 1 July 2025</w:t>
      </w:r>
      <w:r w:rsidR="00AB1D2A">
        <w:t>. It includes</w:t>
      </w:r>
      <w:r w:rsidRPr="0013775D">
        <w:t xml:space="preserve"> four key changes </w:t>
      </w:r>
      <w:r w:rsidR="00AB1D2A">
        <w:t>that</w:t>
      </w:r>
      <w:r w:rsidR="00C103B7">
        <w:t xml:space="preserve"> </w:t>
      </w:r>
      <w:r w:rsidR="00AB1D2A">
        <w:t xml:space="preserve">respond to several of our recommendations and </w:t>
      </w:r>
      <w:r w:rsidR="00C103B7">
        <w:t xml:space="preserve">mark </w:t>
      </w:r>
      <w:r w:rsidR="005B27CE">
        <w:t xml:space="preserve">definite </w:t>
      </w:r>
      <w:r w:rsidR="00C103B7">
        <w:t xml:space="preserve">progress for international </w:t>
      </w:r>
      <w:r w:rsidR="001803EC">
        <w:t>s</w:t>
      </w:r>
      <w:r w:rsidR="00C103B7">
        <w:t>tudents</w:t>
      </w:r>
      <w:r w:rsidR="001803EC">
        <w:t>’</w:t>
      </w:r>
      <w:r w:rsidR="00C103B7">
        <w:t xml:space="preserve"> </w:t>
      </w:r>
      <w:r w:rsidR="00AB1D2A">
        <w:t xml:space="preserve">sexual and reproductive </w:t>
      </w:r>
      <w:r w:rsidR="00C103B7">
        <w:t>rights</w:t>
      </w:r>
      <w:r w:rsidR="00AB1D2A">
        <w:t>.</w:t>
      </w:r>
    </w:p>
    <w:p w14:paraId="2FEEE77A" w14:textId="3704B5AF" w:rsidR="0062763C" w:rsidRPr="00BF3B0F" w:rsidRDefault="0062763C" w:rsidP="0062763C">
      <w:r w:rsidRPr="003D5998">
        <w:t>First,</w:t>
      </w:r>
      <w:r w:rsidRPr="00BF3B0F">
        <w:t xml:space="preserve"> miscarriage and termination of pregnancy are now explicitly included in the definition of pregnancy-related conditions. </w:t>
      </w:r>
      <w:r w:rsidRPr="0062763C">
        <w:t>Previously, these services were not clearly covered, leaving international students uncertain and sometimes excluded from care. The new definition provides clarity and strengthens international students’ reproductive rights by ensuring these essential services are recognised under OSHC.</w:t>
      </w:r>
    </w:p>
    <w:p w14:paraId="7B32F51B" w14:textId="7EF6C65E" w:rsidR="0062763C" w:rsidRPr="00BF3B0F" w:rsidRDefault="0062763C" w:rsidP="0062763C">
      <w:r w:rsidRPr="003D5998">
        <w:t>Second,</w:t>
      </w:r>
      <w:r w:rsidRPr="00BF3B0F">
        <w:t xml:space="preserve"> waiting periods for pregnancy-related care have been removed for OSHC policies of two years or more.</w:t>
      </w:r>
      <w:r w:rsidR="006F6793">
        <w:t xml:space="preserve"> This is a significant step forward for the recognition and protection of international students’ sexual and reproductive rights in Australia that will increase the health, safety and physical and mental wellbeing of international students and their babies.</w:t>
      </w:r>
      <w:r w:rsidRPr="00BF3B0F">
        <w:t xml:space="preserve"> While this</w:t>
      </w:r>
      <w:r w:rsidR="006F6793">
        <w:t xml:space="preserve"> change vastly</w:t>
      </w:r>
      <w:r w:rsidRPr="00BF3B0F">
        <w:t xml:space="preserve"> improves access for some students, those with shorter policies </w:t>
      </w:r>
      <w:r w:rsidR="006F6793">
        <w:t xml:space="preserve">currently </w:t>
      </w:r>
      <w:r w:rsidRPr="00BF3B0F">
        <w:t xml:space="preserve">remain excluded, </w:t>
      </w:r>
      <w:r>
        <w:t>l</w:t>
      </w:r>
      <w:r w:rsidRPr="0062763C">
        <w:t>eaving them vulnerable to significant health and financial risks and reinforcing inequities</w:t>
      </w:r>
      <w:r>
        <w:t xml:space="preserve"> in healthcare.</w:t>
      </w:r>
    </w:p>
    <w:p w14:paraId="6CF1F914" w14:textId="39DC7026" w:rsidR="0062763C" w:rsidRPr="00BF3B0F" w:rsidRDefault="0062763C" w:rsidP="0062763C">
      <w:r w:rsidRPr="003D5998">
        <w:t>Third,</w:t>
      </w:r>
      <w:r w:rsidRPr="00BF3B0F">
        <w:t xml:space="preserve"> commissions paid to third-party agents are now capped. This change is intended to reduce the overall cost of OSHC for students, though it </w:t>
      </w:r>
      <w:r w:rsidR="00837799">
        <w:t>relies on</w:t>
      </w:r>
      <w:r w:rsidRPr="00BF3B0F">
        <w:t xml:space="preserve"> insurers </w:t>
      </w:r>
      <w:r w:rsidR="00837799">
        <w:t>to</w:t>
      </w:r>
      <w:r w:rsidR="00837799" w:rsidRPr="00BF3B0F">
        <w:t xml:space="preserve"> </w:t>
      </w:r>
      <w:r w:rsidRPr="00BF3B0F">
        <w:t>pass these savings on</w:t>
      </w:r>
      <w:r w:rsidR="00837799">
        <w:t>, and there is no guarantee that will be the case</w:t>
      </w:r>
      <w:r w:rsidRPr="00BF3B0F">
        <w:t>.</w:t>
      </w:r>
      <w:r w:rsidRPr="0062763C">
        <w:t xml:space="preserve"> </w:t>
      </w:r>
      <w:r>
        <w:t>Many international students face financial pressures while living and studying in Australia.</w:t>
      </w:r>
      <w:r>
        <w:rPr>
          <w:rStyle w:val="EndnoteReference"/>
        </w:rPr>
        <w:endnoteReference w:id="19"/>
      </w:r>
      <w:r>
        <w:t xml:space="preserve"> Affordability is an essential component of health equity and reducing the cost of OSHC increases health care accessibility. This is particularly important given predictions from some insurance providers that OSHC premiums will increase as a result of allowing access to pregnancy-related care.</w:t>
      </w:r>
      <w:r>
        <w:rPr>
          <w:rStyle w:val="EndnoteReference"/>
        </w:rPr>
        <w:endnoteReference w:id="20"/>
      </w:r>
    </w:p>
    <w:p w14:paraId="7FD4E4E1" w14:textId="150BB5AF" w:rsidR="005B27CE" w:rsidRPr="00BF3B0F" w:rsidRDefault="0062763C" w:rsidP="005B27CE">
      <w:r w:rsidRPr="003D5998">
        <w:t>Finally,</w:t>
      </w:r>
      <w:r w:rsidRPr="00BF3B0F">
        <w:t xml:space="preserve"> insurers must </w:t>
      </w:r>
      <w:r w:rsidR="005B27CE">
        <w:t xml:space="preserve">now </w:t>
      </w:r>
      <w:r w:rsidRPr="00BF3B0F">
        <w:t xml:space="preserve">publish standardised product information on privatehealth.gov.au. </w:t>
      </w:r>
      <w:r w:rsidRPr="008A2352">
        <w:t xml:space="preserve">Current evidence indicates that many international students do not </w:t>
      </w:r>
      <w:r>
        <w:t xml:space="preserve">fully </w:t>
      </w:r>
      <w:r w:rsidRPr="008A2352">
        <w:t>understand their OSHC policies and are unaware of any additional health costs they may be required to pay.</w:t>
      </w:r>
      <w:r w:rsidRPr="008A2352">
        <w:rPr>
          <w:rStyle w:val="EndnoteReference"/>
        </w:rPr>
        <w:endnoteReference w:id="21"/>
      </w:r>
      <w:r w:rsidRPr="008A2352">
        <w:t xml:space="preserve"> </w:t>
      </w:r>
      <w:r w:rsidRPr="00BF3B0F">
        <w:t xml:space="preserve">This </w:t>
      </w:r>
      <w:r>
        <w:t xml:space="preserve">change </w:t>
      </w:r>
      <w:r w:rsidRPr="00BF3B0F">
        <w:t>should improve transparency and help students compare policies</w:t>
      </w:r>
      <w:r w:rsidR="006B77FC" w:rsidRPr="006B77FC">
        <w:t xml:space="preserve"> </w:t>
      </w:r>
      <w:r w:rsidR="006B77FC">
        <w:t>and make more informed decisions about the insurance products most suitable for their needs.</w:t>
      </w:r>
      <w:r w:rsidRPr="00BF3B0F">
        <w:t xml:space="preserve"> </w:t>
      </w:r>
      <w:r w:rsidR="006B77FC">
        <w:t xml:space="preserve">However, </w:t>
      </w:r>
      <w:r w:rsidRPr="00BF3B0F">
        <w:t xml:space="preserve">MCWH will </w:t>
      </w:r>
      <w:r w:rsidR="005B27CE">
        <w:t xml:space="preserve">continue to </w:t>
      </w:r>
      <w:r w:rsidRPr="00BF3B0F">
        <w:t>advocate to ensure information is available in plain English and</w:t>
      </w:r>
      <w:r w:rsidR="005B27CE">
        <w:t xml:space="preserve"> </w:t>
      </w:r>
      <w:r w:rsidRPr="00BF3B0F">
        <w:t>in other languages.</w:t>
      </w:r>
    </w:p>
    <w:p w14:paraId="1C3F051F" w14:textId="15E345D5" w:rsidR="00DE180E" w:rsidRDefault="00D35E68" w:rsidP="00225C40">
      <w:pPr>
        <w:pStyle w:val="Heading1"/>
      </w:pPr>
      <w:r>
        <w:t>Our position and recommendations</w:t>
      </w:r>
    </w:p>
    <w:p w14:paraId="30F2F250" w14:textId="0EAA1465" w:rsidR="006F6793" w:rsidRDefault="00880219" w:rsidP="0011083E">
      <w:r>
        <w:t>MCWH</w:t>
      </w:r>
      <w:r w:rsidR="00D35E68">
        <w:t xml:space="preserve"> welcomes the progress made in the 2025 OSHC Deed</w:t>
      </w:r>
      <w:r w:rsidR="00AB1D2A">
        <w:t xml:space="preserve">, </w:t>
      </w:r>
      <w:r w:rsidR="005B27CE">
        <w:t>and congratulates the Department of Health on reviewing the Deed</w:t>
      </w:r>
      <w:r w:rsidR="00D35E68">
        <w:t>. However,</w:t>
      </w:r>
      <w:r w:rsidR="005B27CE">
        <w:t xml:space="preserve"> despite these important reforms,</w:t>
      </w:r>
      <w:r w:rsidR="00D35E68">
        <w:t xml:space="preserve"> </w:t>
      </w:r>
      <w:r w:rsidR="0060417D">
        <w:t xml:space="preserve">there is much more to do to ensure the health rights of international students and their families are recognised, respected and embedded into healthcare. </w:t>
      </w:r>
    </w:p>
    <w:p w14:paraId="21D4779E" w14:textId="2F564A3A" w:rsidR="005B7BAB" w:rsidRDefault="00E17544" w:rsidP="0011083E">
      <w:r>
        <w:t>Within the current visa system, i</w:t>
      </w:r>
      <w:r w:rsidR="00FE5350">
        <w:t>nternational students</w:t>
      </w:r>
      <w:r w:rsidR="00D35E68">
        <w:t>’ healthcare continues to be treated as a commodity rather than a right.</w:t>
      </w:r>
      <w:r w:rsidR="00FE5350">
        <w:t xml:space="preserve"> </w:t>
      </w:r>
      <w:r w:rsidR="00D35E68">
        <w:t xml:space="preserve">As temporary residents, they remain excluded from services like public healthcare, face restrictive visa </w:t>
      </w:r>
      <w:r w:rsidR="004D554E">
        <w:t>conditions such as capped</w:t>
      </w:r>
      <w:r w:rsidR="00D35E68">
        <w:t xml:space="preserve"> work hours, </w:t>
      </w:r>
      <w:r w:rsidR="004D554E">
        <w:t>and often struggle to navigate Australia’s complex health system</w:t>
      </w:r>
      <w:r w:rsidR="004D554E">
        <w:rPr>
          <w:rFonts w:cstheme="minorHAnsi"/>
        </w:rPr>
        <w:t xml:space="preserve">—all </w:t>
      </w:r>
      <w:r w:rsidR="00D35E68">
        <w:t xml:space="preserve">while paying </w:t>
      </w:r>
      <w:r w:rsidR="004D554E">
        <w:t>high fees</w:t>
      </w:r>
      <w:r w:rsidR="00D35E68">
        <w:t xml:space="preserve"> to attend Australian universities and educational institutions. </w:t>
      </w:r>
    </w:p>
    <w:p w14:paraId="7BBFBD08" w14:textId="58AD2D4C" w:rsidR="006B77FC" w:rsidRPr="006B77FC" w:rsidRDefault="006B77FC" w:rsidP="006B77FC">
      <w:r w:rsidRPr="006B77FC">
        <w:t>Equitable access to pregnancy-related care is a human right. The</w:t>
      </w:r>
      <w:r w:rsidR="004D554E">
        <w:t xml:space="preserve"> current</w:t>
      </w:r>
      <w:r w:rsidRPr="006B77FC">
        <w:t xml:space="preserve"> 12-month waiting period imposed on international students </w:t>
      </w:r>
      <w:r w:rsidR="004D554E">
        <w:t xml:space="preserve">who have OSHC cover under </w:t>
      </w:r>
      <w:r w:rsidR="00A73129">
        <w:t>two</w:t>
      </w:r>
      <w:r w:rsidR="004D554E">
        <w:t xml:space="preserve"> years </w:t>
      </w:r>
      <w:r w:rsidRPr="006B77FC">
        <w:t xml:space="preserve">conflicts with Australia’s obligations </w:t>
      </w:r>
      <w:r w:rsidR="004D554E">
        <w:t>under</w:t>
      </w:r>
      <w:r w:rsidRPr="006B77FC">
        <w:t xml:space="preserve"> the Convention on the Elimination of All Forms of Discrimination Against Women </w:t>
      </w:r>
      <w:r w:rsidRPr="006B77FC">
        <w:lastRenderedPageBreak/>
        <w:t>(CEDAW</w:t>
      </w:r>
      <w:r w:rsidR="004D554E">
        <w:t>), and</w:t>
      </w:r>
      <w:r w:rsidRPr="006B77FC">
        <w:t xml:space="preserve"> the Sex Discrimination</w:t>
      </w:r>
      <w:r w:rsidR="004D554E">
        <w:t xml:space="preserve"> Act</w:t>
      </w:r>
      <w:r w:rsidRPr="006B77FC">
        <w:t xml:space="preserve"> (1984)</w:t>
      </w:r>
      <w:r w:rsidR="004D554E">
        <w:t>, that</w:t>
      </w:r>
      <w:r w:rsidRPr="006B77FC">
        <w:t xml:space="preserve"> </w:t>
      </w:r>
      <w:r w:rsidR="004D554E">
        <w:t>prohibits</w:t>
      </w:r>
      <w:r w:rsidRPr="006B77FC">
        <w:t xml:space="preserve"> discrimination </w:t>
      </w:r>
      <w:r w:rsidR="00BF3B0F" w:rsidRPr="006B77FC">
        <w:t>based on</w:t>
      </w:r>
      <w:r w:rsidRPr="006B77FC">
        <w:t xml:space="preserve"> pregnancy.</w:t>
      </w:r>
      <w:r w:rsidR="004D554E">
        <w:t xml:space="preserve"> </w:t>
      </w:r>
      <w:r w:rsidR="004D554E" w:rsidRPr="00DE180E">
        <w:t>Australia has a responsibility to ensure that visa status does not determine access to healthcare.</w:t>
      </w:r>
    </w:p>
    <w:p w14:paraId="2BA37055" w14:textId="2D21DD02" w:rsidR="001802E1" w:rsidRDefault="004D554E" w:rsidP="001802E1">
      <w:r>
        <w:t xml:space="preserve">MCWH </w:t>
      </w:r>
      <w:r w:rsidR="006B77FC" w:rsidRPr="006B77FC">
        <w:t>support</w:t>
      </w:r>
      <w:r>
        <w:t>s</w:t>
      </w:r>
      <w:r w:rsidR="006B77FC" w:rsidRPr="006B77FC">
        <w:t xml:space="preserve"> the </w:t>
      </w:r>
      <w:r>
        <w:t>Australian Human Rights Commission</w:t>
      </w:r>
      <w:r w:rsidR="006E3F61">
        <w:t>’</w:t>
      </w:r>
      <w:r>
        <w:t xml:space="preserve">s </w:t>
      </w:r>
      <w:r>
        <w:rPr>
          <w:i/>
          <w:iCs/>
        </w:rPr>
        <w:t>International Student Principl</w:t>
      </w:r>
      <w:r w:rsidR="00A73129">
        <w:rPr>
          <w:i/>
          <w:iCs/>
        </w:rPr>
        <w:t>e</w:t>
      </w:r>
      <w:r>
        <w:rPr>
          <w:i/>
          <w:iCs/>
        </w:rPr>
        <w:t>s</w:t>
      </w:r>
      <w:r w:rsidR="006B77FC" w:rsidRPr="006B77FC">
        <w:t>,</w:t>
      </w:r>
      <w:r w:rsidR="001802E1" w:rsidRPr="001802E1">
        <w:rPr>
          <w:rStyle w:val="EndnoteReference"/>
        </w:rPr>
        <w:t xml:space="preserve"> </w:t>
      </w:r>
      <w:r w:rsidR="001802E1">
        <w:rPr>
          <w:rStyle w:val="EndnoteReference"/>
        </w:rPr>
        <w:endnoteReference w:id="22"/>
      </w:r>
      <w:r w:rsidR="006B77FC" w:rsidRPr="006B77FC">
        <w:t xml:space="preserve"> </w:t>
      </w:r>
      <w:r w:rsidR="00926A5B">
        <w:t>which aim to protect and promote the human rights of international students</w:t>
      </w:r>
      <w:r w:rsidR="001802E1">
        <w:t xml:space="preserve">. </w:t>
      </w:r>
      <w:r w:rsidR="001802E1" w:rsidRPr="00DE180E">
        <w:t>These principles must guide OSHC reform.</w:t>
      </w:r>
      <w:r w:rsidR="00926A5B">
        <w:t xml:space="preserve"> </w:t>
      </w:r>
      <w:r w:rsidR="001802E1">
        <w:t xml:space="preserve">This includes ensuring </w:t>
      </w:r>
      <w:r w:rsidR="006B77FC" w:rsidRPr="006B77FC">
        <w:t>that</w:t>
      </w:r>
      <w:r w:rsidR="001802E1">
        <w:t xml:space="preserve"> </w:t>
      </w:r>
      <w:r w:rsidR="006B77FC" w:rsidRPr="006B77FC">
        <w:t>international students and their families have</w:t>
      </w:r>
      <w:r w:rsidR="001802E1">
        <w:t xml:space="preserve"> access to:</w:t>
      </w:r>
    </w:p>
    <w:p w14:paraId="2C5D4314" w14:textId="13E15010" w:rsidR="001802E1" w:rsidRDefault="001802E1" w:rsidP="00BF3B0F">
      <w:pPr>
        <w:pStyle w:val="ListParagraph"/>
        <w:numPr>
          <w:ilvl w:val="0"/>
          <w:numId w:val="34"/>
        </w:numPr>
      </w:pPr>
      <w:r>
        <w:t>A</w:t>
      </w:r>
      <w:r w:rsidR="006B77FC" w:rsidRPr="006B77FC">
        <w:t>ffordable medical and hospital treatment while studying in Australia</w:t>
      </w:r>
    </w:p>
    <w:p w14:paraId="23F50627" w14:textId="45C93E6B" w:rsidR="001802E1" w:rsidRDefault="001802E1" w:rsidP="001802E1">
      <w:pPr>
        <w:pStyle w:val="ListParagraph"/>
        <w:numPr>
          <w:ilvl w:val="0"/>
          <w:numId w:val="34"/>
        </w:numPr>
      </w:pPr>
      <w:r>
        <w:t>S</w:t>
      </w:r>
      <w:r w:rsidR="006B77FC" w:rsidRPr="006B77FC">
        <w:t>ufficient information about how to access emergency health services</w:t>
      </w:r>
    </w:p>
    <w:p w14:paraId="50E3880A" w14:textId="546C6915" w:rsidR="001802E1" w:rsidRDefault="001802E1" w:rsidP="00BF3B0F">
      <w:pPr>
        <w:pStyle w:val="ListParagraph"/>
        <w:numPr>
          <w:ilvl w:val="0"/>
          <w:numId w:val="34"/>
        </w:numPr>
      </w:pPr>
      <w:r>
        <w:t>Services that</w:t>
      </w:r>
      <w:r w:rsidRPr="006B77FC">
        <w:t xml:space="preserve"> are aware of their obligations to </w:t>
      </w:r>
      <w:r>
        <w:t>international students</w:t>
      </w:r>
    </w:p>
    <w:p w14:paraId="4988AB2A" w14:textId="5E083F24" w:rsidR="001802E1" w:rsidRDefault="001802E1" w:rsidP="00BF3B0F">
      <w:pPr>
        <w:pStyle w:val="ListParagraph"/>
        <w:numPr>
          <w:ilvl w:val="0"/>
          <w:numId w:val="34"/>
        </w:numPr>
      </w:pPr>
      <w:r>
        <w:t>G</w:t>
      </w:r>
      <w:r w:rsidR="006B77FC" w:rsidRPr="006B77FC">
        <w:t xml:space="preserve">ender-specific health education and services </w:t>
      </w:r>
      <w:r>
        <w:t>and a</w:t>
      </w:r>
      <w:r w:rsidR="006B77FC" w:rsidRPr="006B77FC">
        <w:t>ppropriate obstetrics care</w:t>
      </w:r>
    </w:p>
    <w:p w14:paraId="29D53833" w14:textId="7D6B3339" w:rsidR="00926A5B" w:rsidRPr="006B77FC" w:rsidRDefault="001802E1" w:rsidP="00BF3B0F">
      <w:pPr>
        <w:pStyle w:val="ListParagraph"/>
        <w:numPr>
          <w:ilvl w:val="0"/>
          <w:numId w:val="34"/>
        </w:numPr>
      </w:pPr>
      <w:r>
        <w:t>Mental health and wellbeing services</w:t>
      </w:r>
    </w:p>
    <w:p w14:paraId="30F58AD5" w14:textId="4F6A92CD" w:rsidR="006B77FC" w:rsidRDefault="00837799" w:rsidP="00880219">
      <w:r>
        <w:t xml:space="preserve">MCWH’s </w:t>
      </w:r>
      <w:r w:rsidR="001802E1">
        <w:t xml:space="preserve">recommendations </w:t>
      </w:r>
      <w:r>
        <w:t xml:space="preserve">build on the current </w:t>
      </w:r>
      <w:r w:rsidR="0060417D">
        <w:t>changes</w:t>
      </w:r>
      <w:r>
        <w:t xml:space="preserve"> to the deed</w:t>
      </w:r>
      <w:r w:rsidR="0060417D">
        <w:t>, and are focused on further improving access to health for international students and their families</w:t>
      </w:r>
      <w:r w:rsidR="001802E1">
        <w:t xml:space="preserve">: </w:t>
      </w:r>
    </w:p>
    <w:p w14:paraId="0B8B60F5" w14:textId="3B5EA2BB" w:rsidR="00DC7B54" w:rsidRDefault="001802E1" w:rsidP="00DC7B54">
      <w:pPr>
        <w:pStyle w:val="ListParagraph"/>
        <w:numPr>
          <w:ilvl w:val="0"/>
          <w:numId w:val="12"/>
        </w:numPr>
      </w:pPr>
      <w:r>
        <w:t>Abolish t</w:t>
      </w:r>
      <w:r w:rsidR="00DC7B54">
        <w:t xml:space="preserve">he 12-month waiting period for all pregnancy-related treatment, including termination, </w:t>
      </w:r>
      <w:r w:rsidR="0060417D">
        <w:t xml:space="preserve">under all insurance policies regardless of length, </w:t>
      </w:r>
      <w:r>
        <w:t>in line with R</w:t>
      </w:r>
      <w:r>
        <w:rPr>
          <w:rFonts w:cstheme="minorHAnsi"/>
          <w:bCs/>
        </w:rPr>
        <w:t xml:space="preserve">ecommendation 31 from the </w:t>
      </w:r>
      <w:hyperlink r:id="rId17" w:history="1">
        <w:r w:rsidRPr="00A01253">
          <w:rPr>
            <w:rStyle w:val="Hyperlink"/>
            <w:rFonts w:cstheme="minorHAnsi"/>
            <w:bCs/>
          </w:rPr>
          <w:t>Senate Inquiry into Universal Access to Reproductive Healthcare</w:t>
        </w:r>
      </w:hyperlink>
      <w:r w:rsidR="00342E43">
        <w:t>.</w:t>
      </w:r>
    </w:p>
    <w:p w14:paraId="7D133B1E" w14:textId="175EF6E3" w:rsidR="00DC7B54" w:rsidRDefault="001802E1" w:rsidP="00DC7B54">
      <w:pPr>
        <w:pStyle w:val="DotPoints"/>
        <w:numPr>
          <w:ilvl w:val="0"/>
          <w:numId w:val="12"/>
        </w:numPr>
      </w:pPr>
      <w:r>
        <w:t>Ensure</w:t>
      </w:r>
      <w:r w:rsidR="00DC7B54">
        <w:t xml:space="preserve"> </w:t>
      </w:r>
      <w:r w:rsidR="00A01253">
        <w:t xml:space="preserve">international students </w:t>
      </w:r>
      <w:r w:rsidR="00DC7B54">
        <w:t>have</w:t>
      </w:r>
      <w:r w:rsidR="00C103B7">
        <w:t xml:space="preserve"> access to</w:t>
      </w:r>
      <w:r w:rsidR="00DC7B54">
        <w:t xml:space="preserve"> affordable and non-discriminatory health insurance</w:t>
      </w:r>
      <w:r w:rsidR="00C103B7">
        <w:t>,</w:t>
      </w:r>
      <w:r w:rsidR="00DC7B54">
        <w:t xml:space="preserve"> </w:t>
      </w:r>
      <w:r w:rsidR="00C103B7">
        <w:t>and</w:t>
      </w:r>
      <w:r w:rsidR="00DC7B54">
        <w:t xml:space="preserve"> culturally appropriate information, education and services, </w:t>
      </w:r>
      <w:r w:rsidR="00C103B7">
        <w:t>delivered in plain English and in other languages</w:t>
      </w:r>
      <w:r w:rsidR="00342E43">
        <w:t>.</w:t>
      </w:r>
    </w:p>
    <w:p w14:paraId="4D77B628" w14:textId="5F128C40" w:rsidR="00DC7B54" w:rsidRDefault="00C103B7" w:rsidP="005D5F62">
      <w:pPr>
        <w:pStyle w:val="ListParagraph"/>
        <w:numPr>
          <w:ilvl w:val="0"/>
          <w:numId w:val="12"/>
        </w:numPr>
      </w:pPr>
      <w:r>
        <w:t xml:space="preserve">Take all </w:t>
      </w:r>
      <w:r w:rsidR="001803EC">
        <w:t>appropriate</w:t>
      </w:r>
      <w:r w:rsidR="00DC7B54">
        <w:t xml:space="preserve"> measures to eliminate </w:t>
      </w:r>
      <w:r>
        <w:t>gender, racial and other forms of bias in healthcare</w:t>
      </w:r>
      <w:r w:rsidR="00342E43">
        <w:t>.</w:t>
      </w:r>
    </w:p>
    <w:p w14:paraId="220ABB4B" w14:textId="77777777" w:rsidR="00C103B7" w:rsidRPr="00DE180E" w:rsidRDefault="00C103B7" w:rsidP="00C103B7">
      <w:pPr>
        <w:pStyle w:val="ListParagraph"/>
        <w:numPr>
          <w:ilvl w:val="0"/>
          <w:numId w:val="12"/>
        </w:numPr>
      </w:pPr>
      <w:r w:rsidRPr="00DE180E">
        <w:t>Partner with bilingual health educators and community-led organisations to co-design prevention and early intervention strategies, strengthening health literacy, reducing unplanned pregnancies, and improving outcomes for international students.</w:t>
      </w:r>
    </w:p>
    <w:p w14:paraId="0FB048F7" w14:textId="4E6FB980" w:rsidR="00E76C67" w:rsidRDefault="00C103B7" w:rsidP="0011083E">
      <w:r w:rsidRPr="00DE180E">
        <w:t>Equitable access to sexual and reproductive healthcare is not only a matter of rights, but of sound public health policy.</w:t>
      </w:r>
      <w:r w:rsidR="0011083E">
        <w:t xml:space="preserve"> As the</w:t>
      </w:r>
      <w:r w:rsidR="00BD7EAD">
        <w:t xml:space="preserve">se </w:t>
      </w:r>
      <w:r w:rsidR="0011083E">
        <w:t xml:space="preserve">changes </w:t>
      </w:r>
      <w:r w:rsidR="00BD7EAD">
        <w:t xml:space="preserve">made </w:t>
      </w:r>
      <w:r w:rsidR="0011083E">
        <w:t xml:space="preserve">to </w:t>
      </w:r>
      <w:r w:rsidR="00AB1D2A" w:rsidRPr="00AB1D2A">
        <w:t xml:space="preserve">OSHC </w:t>
      </w:r>
      <w:r w:rsidR="0011083E">
        <w:t xml:space="preserve">demonstrate, </w:t>
      </w:r>
      <w:r w:rsidR="00BD7EAD">
        <w:t>evidence-based approaches, community consultation and ongoing advocacy</w:t>
      </w:r>
      <w:r w:rsidR="0011083E">
        <w:t xml:space="preserve"> </w:t>
      </w:r>
      <w:r w:rsidR="00BD7EAD">
        <w:t>are</w:t>
      </w:r>
      <w:r w:rsidR="0011083E">
        <w:t xml:space="preserve"> essential to ensuring that all international students and many future Australians can access the reproductive healthcare they need.</w:t>
      </w:r>
    </w:p>
    <w:p w14:paraId="7CD9031C" w14:textId="77777777" w:rsidR="00E4152C" w:rsidRDefault="00E4152C" w:rsidP="00E4152C">
      <w:pPr>
        <w:pStyle w:val="Heading1"/>
      </w:pPr>
      <w:r>
        <w:t>About MCWH</w:t>
      </w:r>
    </w:p>
    <w:p w14:paraId="71BF799E" w14:textId="7C9C6697" w:rsidR="005D5F62" w:rsidRDefault="00E4152C" w:rsidP="00E76C67">
      <w:r>
        <w:t xml:space="preserve">MCWH is a Victorian-based women’s health service established in 1978 that works to promote the health and wellbeing of migrant and refugee women and gender diverse people </w:t>
      </w:r>
      <w:r w:rsidR="00C103B7">
        <w:t xml:space="preserve">across Australia </w:t>
      </w:r>
      <w:r>
        <w:t>through research and publication, advocacy, bilingual health education, training and capacity building.</w:t>
      </w:r>
    </w:p>
    <w:p w14:paraId="691550D7" w14:textId="77777777" w:rsidR="003E249B" w:rsidRPr="003E249B" w:rsidRDefault="003E249B" w:rsidP="00E76C67"/>
    <w:p w14:paraId="3A85649D" w14:textId="707BDFAC" w:rsidR="00E76C67" w:rsidRDefault="00B959C6" w:rsidP="00E76C67">
      <w:pPr>
        <w:rPr>
          <w:rFonts w:ascii="Segoe UI" w:hAnsi="Segoe UI" w:cs="Segoe UI"/>
          <w:b/>
          <w:color w:val="2C1263" w:themeColor="text2"/>
          <w:sz w:val="18"/>
          <w:szCs w:val="20"/>
        </w:rPr>
      </w:pPr>
      <w:r w:rsidRPr="00DA5F5F">
        <w:rPr>
          <w:rFonts w:cstheme="minorHAnsi"/>
          <w:noProof/>
        </w:rPr>
        <w:drawing>
          <wp:inline distT="0" distB="0" distL="0" distR="0" wp14:anchorId="2572F01D" wp14:editId="3E77B123">
            <wp:extent cx="2252318" cy="427990"/>
            <wp:effectExtent l="0" t="0" r="0" b="0"/>
            <wp:docPr id="12" name="Picture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71227" cy="431583"/>
                    </a:xfrm>
                    <a:prstGeom prst="rect">
                      <a:avLst/>
                    </a:prstGeom>
                    <a:noFill/>
                  </pic:spPr>
                </pic:pic>
              </a:graphicData>
            </a:graphic>
          </wp:inline>
        </w:drawing>
      </w:r>
    </w:p>
    <w:p w14:paraId="60CC6B3B" w14:textId="1ED657D5" w:rsidR="007912C8" w:rsidRDefault="00B43C07" w:rsidP="00B959C6">
      <w:pPr>
        <w:spacing w:after="80" w:line="240" w:lineRule="auto"/>
        <w:rPr>
          <w:rFonts w:asciiTheme="majorHAnsi" w:hAnsiTheme="majorHAnsi" w:cstheme="majorHAnsi"/>
          <w:bCs/>
          <w:color w:val="2C1263" w:themeColor="text2"/>
        </w:rPr>
      </w:pPr>
      <w:r w:rsidRPr="007302BF">
        <w:rPr>
          <w:rFonts w:asciiTheme="majorHAnsi" w:hAnsiTheme="majorHAnsi" w:cstheme="majorHAnsi"/>
          <w:bCs/>
          <w:color w:val="2C1263" w:themeColor="text2"/>
        </w:rPr>
        <w:t>Multicultural Centre for Women’s Health</w:t>
      </w:r>
      <w:r w:rsidR="00A26382" w:rsidRPr="007302BF">
        <w:rPr>
          <w:rFonts w:asciiTheme="majorHAnsi" w:hAnsiTheme="majorHAnsi" w:cstheme="majorHAnsi"/>
          <w:bCs/>
          <w:color w:val="2C1263" w:themeColor="text2"/>
        </w:rPr>
        <w:t xml:space="preserve"> </w:t>
      </w:r>
      <w:r w:rsidR="007E6267" w:rsidRPr="007302BF">
        <w:rPr>
          <w:rFonts w:asciiTheme="majorHAnsi" w:hAnsiTheme="majorHAnsi" w:cstheme="majorHAnsi"/>
          <w:bCs/>
          <w:color w:val="2C1263" w:themeColor="text2"/>
        </w:rPr>
        <w:t xml:space="preserve"> </w:t>
      </w:r>
      <w:r w:rsidR="00B959C6" w:rsidRPr="007302BF">
        <w:rPr>
          <w:rFonts w:asciiTheme="majorHAnsi" w:hAnsiTheme="majorHAnsi" w:cstheme="majorHAnsi"/>
          <w:bCs/>
          <w:color w:val="2C1263" w:themeColor="text2"/>
        </w:rPr>
        <w:br/>
      </w:r>
      <w:hyperlink r:id="rId18" w:history="1">
        <w:r w:rsidR="00B959C6" w:rsidRPr="007302BF">
          <w:rPr>
            <w:rStyle w:val="Hyperlink"/>
            <w:rFonts w:asciiTheme="majorHAnsi" w:hAnsiTheme="majorHAnsi" w:cstheme="majorHAnsi"/>
            <w:b w:val="0"/>
            <w:bCs/>
          </w:rPr>
          <w:t>www.mcwh.com.au</w:t>
        </w:r>
      </w:hyperlink>
      <w:r w:rsidR="00A26382" w:rsidRPr="007302BF">
        <w:rPr>
          <w:rFonts w:asciiTheme="majorHAnsi" w:hAnsiTheme="majorHAnsi" w:cstheme="majorHAnsi"/>
          <w:bCs/>
          <w:color w:val="2C1263" w:themeColor="text2"/>
        </w:rPr>
        <w:t xml:space="preserve">  </w:t>
      </w:r>
      <w:r w:rsidR="00B959C6" w:rsidRPr="007302BF">
        <w:rPr>
          <w:rFonts w:asciiTheme="majorHAnsi" w:hAnsiTheme="majorHAnsi" w:cstheme="majorHAnsi"/>
          <w:bCs/>
          <w:color w:val="2C1263" w:themeColor="text2"/>
        </w:rPr>
        <w:br/>
      </w:r>
      <w:hyperlink r:id="rId19" w:history="1">
        <w:r w:rsidR="00B959C6" w:rsidRPr="007302BF">
          <w:rPr>
            <w:rStyle w:val="Hyperlink"/>
            <w:rFonts w:asciiTheme="majorHAnsi" w:hAnsiTheme="majorHAnsi" w:cstheme="majorHAnsi"/>
            <w:b w:val="0"/>
            <w:bCs/>
          </w:rPr>
          <w:t>reception@mcwh.com.au</w:t>
        </w:r>
      </w:hyperlink>
      <w:r w:rsidRPr="007302BF">
        <w:rPr>
          <w:rFonts w:asciiTheme="majorHAnsi" w:hAnsiTheme="majorHAnsi" w:cstheme="majorHAnsi"/>
          <w:bCs/>
          <w:color w:val="2C1263" w:themeColor="text2"/>
        </w:rPr>
        <w:t xml:space="preserve">  </w:t>
      </w:r>
      <w:r w:rsidR="00B959C6" w:rsidRPr="007302BF">
        <w:rPr>
          <w:rFonts w:asciiTheme="majorHAnsi" w:hAnsiTheme="majorHAnsi" w:cstheme="majorHAnsi"/>
          <w:bCs/>
          <w:color w:val="2C1263" w:themeColor="text2"/>
        </w:rPr>
        <w:br/>
        <w:t xml:space="preserve">T (03) 9418 0999    </w:t>
      </w:r>
      <w:r w:rsidR="007912C8" w:rsidRPr="007302BF">
        <w:rPr>
          <w:rFonts w:asciiTheme="majorHAnsi" w:hAnsiTheme="majorHAnsi" w:cstheme="majorHAnsi"/>
          <w:bCs/>
          <w:color w:val="2C1263" w:themeColor="text2"/>
        </w:rPr>
        <w:br/>
      </w:r>
      <w:r w:rsidR="00A26382" w:rsidRPr="007302BF">
        <w:rPr>
          <w:rFonts w:asciiTheme="majorHAnsi" w:hAnsiTheme="majorHAnsi" w:cstheme="majorHAnsi"/>
          <w:bCs/>
          <w:color w:val="2C1263" w:themeColor="text2"/>
        </w:rPr>
        <w:lastRenderedPageBreak/>
        <w:t>FREE CALL 1800 656 421</w:t>
      </w:r>
      <w:r w:rsidR="00B959C6" w:rsidRPr="007302BF">
        <w:rPr>
          <w:rFonts w:asciiTheme="majorHAnsi" w:hAnsiTheme="majorHAnsi" w:cstheme="majorHAnsi"/>
          <w:bCs/>
          <w:color w:val="2C1263" w:themeColor="text2"/>
        </w:rPr>
        <w:br/>
      </w:r>
      <w:r w:rsidRPr="007302BF">
        <w:rPr>
          <w:rFonts w:asciiTheme="majorHAnsi" w:hAnsiTheme="majorHAnsi" w:cstheme="majorHAnsi"/>
          <w:bCs/>
          <w:color w:val="2C1263" w:themeColor="text2"/>
        </w:rPr>
        <w:t xml:space="preserve">ABN 48 188 616 970 </w:t>
      </w:r>
      <w:r w:rsidR="00EC2E8C" w:rsidRPr="007302BF">
        <w:rPr>
          <w:rFonts w:asciiTheme="majorHAnsi" w:hAnsiTheme="majorHAnsi" w:cstheme="majorHAnsi"/>
          <w:bCs/>
          <w:color w:val="2C1263" w:themeColor="text2"/>
        </w:rPr>
        <w:t xml:space="preserve"> </w:t>
      </w:r>
      <w:r w:rsidR="00B959C6" w:rsidRPr="007302BF">
        <w:rPr>
          <w:rFonts w:asciiTheme="majorHAnsi" w:hAnsiTheme="majorHAnsi" w:cstheme="majorHAnsi"/>
          <w:bCs/>
          <w:color w:val="2C1263" w:themeColor="text2"/>
        </w:rPr>
        <w:br/>
      </w:r>
      <w:r w:rsidR="00A26382" w:rsidRPr="007302BF">
        <w:rPr>
          <w:rFonts w:asciiTheme="majorHAnsi" w:hAnsiTheme="majorHAnsi" w:cstheme="majorHAnsi"/>
          <w:bCs/>
          <w:color w:val="2C1263" w:themeColor="text2"/>
        </w:rPr>
        <w:t>Suite 207, Level 2</w:t>
      </w:r>
      <w:r w:rsidR="00B959C6" w:rsidRPr="007302BF">
        <w:rPr>
          <w:rFonts w:asciiTheme="majorHAnsi" w:hAnsiTheme="majorHAnsi" w:cstheme="majorHAnsi"/>
          <w:bCs/>
          <w:color w:val="2C1263" w:themeColor="text2"/>
        </w:rPr>
        <w:t xml:space="preserve">, </w:t>
      </w:r>
      <w:r w:rsidR="007912C8">
        <w:rPr>
          <w:rFonts w:asciiTheme="majorHAnsi" w:hAnsiTheme="majorHAnsi" w:cstheme="majorHAnsi"/>
          <w:bCs/>
          <w:color w:val="2C1263" w:themeColor="text2"/>
        </w:rPr>
        <w:br/>
      </w:r>
      <w:r w:rsidR="00A26382" w:rsidRPr="007302BF">
        <w:rPr>
          <w:rFonts w:asciiTheme="majorHAnsi" w:hAnsiTheme="majorHAnsi" w:cstheme="majorHAnsi"/>
          <w:bCs/>
          <w:color w:val="2C1263" w:themeColor="text2"/>
        </w:rPr>
        <w:t xml:space="preserve">134 Cambridge Street, </w:t>
      </w:r>
      <w:r w:rsidR="007912C8">
        <w:rPr>
          <w:rFonts w:asciiTheme="majorHAnsi" w:hAnsiTheme="majorHAnsi" w:cstheme="majorHAnsi"/>
          <w:bCs/>
          <w:color w:val="2C1263" w:themeColor="text2"/>
        </w:rPr>
        <w:br/>
      </w:r>
      <w:r w:rsidR="00A26382" w:rsidRPr="007302BF">
        <w:rPr>
          <w:rFonts w:asciiTheme="majorHAnsi" w:hAnsiTheme="majorHAnsi" w:cstheme="majorHAnsi"/>
          <w:bCs/>
          <w:color w:val="2C1263" w:themeColor="text2"/>
        </w:rPr>
        <w:t>Collingwood VIC  3066</w:t>
      </w:r>
    </w:p>
    <w:p w14:paraId="01C06E24" w14:textId="5292B23B" w:rsidR="00B959C6" w:rsidRPr="007302BF" w:rsidRDefault="00B959C6" w:rsidP="00B959C6">
      <w:pPr>
        <w:spacing w:after="80" w:line="240" w:lineRule="auto"/>
        <w:rPr>
          <w:rFonts w:asciiTheme="majorHAnsi" w:hAnsiTheme="majorHAnsi" w:cstheme="majorHAnsi"/>
          <w:bCs/>
          <w:color w:val="2C1263" w:themeColor="text2"/>
        </w:rPr>
      </w:pPr>
      <w:r w:rsidRPr="007302BF">
        <w:rPr>
          <w:rFonts w:ascii="Segoe UI" w:hAnsi="Segoe UI" w:cs="Segoe UI"/>
          <w:bCs/>
          <w:color w:val="2C1263" w:themeColor="text2"/>
          <w:sz w:val="18"/>
          <w:szCs w:val="20"/>
        </w:rPr>
        <w:t xml:space="preserve"> </w:t>
      </w:r>
      <w:r w:rsidRPr="007302BF">
        <w:rPr>
          <w:rFonts w:ascii="Calibri Light" w:hAnsi="Calibri Light" w:cs="Calibri Light"/>
          <w:bCs/>
          <w:noProof/>
        </w:rPr>
        <w:drawing>
          <wp:inline distT="0" distB="0" distL="0" distR="0" wp14:anchorId="2506DE73" wp14:editId="731940F8">
            <wp:extent cx="214313" cy="228600"/>
            <wp:effectExtent l="0" t="0" r="0" b="0"/>
            <wp:docPr id="5" name="Picture 5" descr="Facebook icon">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acebook icon">
                      <a:hlinkClick r:id="rId20"/>
                    </pic:cNvPr>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215511" cy="229878"/>
                    </a:xfrm>
                    <a:prstGeom prst="rect">
                      <a:avLst/>
                    </a:prstGeom>
                    <a:noFill/>
                    <a:ln>
                      <a:noFill/>
                    </a:ln>
                  </pic:spPr>
                </pic:pic>
              </a:graphicData>
            </a:graphic>
          </wp:inline>
        </w:drawing>
      </w:r>
      <w:r w:rsidRPr="007302BF">
        <w:rPr>
          <w:rFonts w:ascii="Calibri Light" w:hAnsi="Calibri Light" w:cs="Calibri Light"/>
          <w:bCs/>
        </w:rPr>
        <w:t xml:space="preserve">   </w:t>
      </w:r>
      <w:r w:rsidRPr="007302BF">
        <w:rPr>
          <w:rFonts w:ascii="Calibri Light" w:hAnsi="Calibri Light" w:cs="Calibri Light"/>
          <w:bCs/>
          <w:noProof/>
        </w:rPr>
        <w:drawing>
          <wp:inline distT="0" distB="0" distL="0" distR="0" wp14:anchorId="304FA708" wp14:editId="7C03F269">
            <wp:extent cx="212400" cy="226560"/>
            <wp:effectExtent l="0" t="0" r="0" b="2540"/>
            <wp:docPr id="6" name="Picture 6" descr="Twitter icon">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witter icon">
                      <a:hlinkClick r:id="rId23"/>
                    </pic:cNvPr>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212400" cy="226560"/>
                    </a:xfrm>
                    <a:prstGeom prst="rect">
                      <a:avLst/>
                    </a:prstGeom>
                    <a:noFill/>
                    <a:ln>
                      <a:noFill/>
                    </a:ln>
                  </pic:spPr>
                </pic:pic>
              </a:graphicData>
            </a:graphic>
          </wp:inline>
        </w:drawing>
      </w:r>
      <w:r w:rsidRPr="007302BF">
        <w:rPr>
          <w:rFonts w:ascii="Calibri Light" w:hAnsi="Calibri Light" w:cs="Calibri Light"/>
          <w:bCs/>
        </w:rPr>
        <w:t>  </w:t>
      </w:r>
      <w:r w:rsidRPr="007302BF">
        <w:rPr>
          <w:bCs/>
          <w:noProof/>
          <w:color w:val="0563C1"/>
        </w:rPr>
        <w:drawing>
          <wp:inline distT="0" distB="0" distL="0" distR="0" wp14:anchorId="5945DE8D" wp14:editId="30341497">
            <wp:extent cx="212400" cy="212400"/>
            <wp:effectExtent l="0" t="0" r="0" b="0"/>
            <wp:docPr id="7" name="Picture 7" descr="Instagram icon">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nstagram icon">
                      <a:hlinkClick r:id="rId26"/>
                    </pic:cNvPr>
                    <pic:cNvPicPr>
                      <a:picLocks noChangeAspect="1" noChangeArrowheads="1"/>
                    </pic:cNvPicPr>
                  </pic:nvPicPr>
                  <pic:blipFill>
                    <a:blip r:embed="rId27" r:link="rId28" cstate="print">
                      <a:extLst>
                        <a:ext uri="{28A0092B-C50C-407E-A947-70E740481C1C}">
                          <a14:useLocalDpi xmlns:a14="http://schemas.microsoft.com/office/drawing/2010/main" val="0"/>
                        </a:ext>
                      </a:extLst>
                    </a:blip>
                    <a:srcRect/>
                    <a:stretch>
                      <a:fillRect/>
                    </a:stretch>
                  </pic:blipFill>
                  <pic:spPr bwMode="auto">
                    <a:xfrm>
                      <a:off x="0" y="0"/>
                      <a:ext cx="212400" cy="212400"/>
                    </a:xfrm>
                    <a:prstGeom prst="rect">
                      <a:avLst/>
                    </a:prstGeom>
                    <a:noFill/>
                    <a:ln>
                      <a:noFill/>
                    </a:ln>
                  </pic:spPr>
                </pic:pic>
              </a:graphicData>
            </a:graphic>
          </wp:inline>
        </w:drawing>
      </w:r>
      <w:r w:rsidRPr="007302BF">
        <w:rPr>
          <w:bCs/>
        </w:rPr>
        <w:t xml:space="preserve"> </w:t>
      </w:r>
      <w:r w:rsidRPr="007302BF">
        <w:rPr>
          <w:rFonts w:ascii="Calibri Light" w:hAnsi="Calibri Light" w:cs="Calibri Light"/>
          <w:bCs/>
        </w:rPr>
        <w:t> </w:t>
      </w:r>
      <w:r w:rsidRPr="007302BF">
        <w:rPr>
          <w:rFonts w:ascii="Calibri Light" w:hAnsi="Calibri Light" w:cs="Calibri Light"/>
          <w:bCs/>
          <w:noProof/>
        </w:rPr>
        <w:drawing>
          <wp:inline distT="0" distB="0" distL="0" distR="0" wp14:anchorId="52701D34" wp14:editId="1F5787DD">
            <wp:extent cx="212400" cy="226560"/>
            <wp:effectExtent l="0" t="0" r="0" b="2540"/>
            <wp:docPr id="8" name="Picture 8" descr="Linkedin icon">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inkedin icon">
                      <a:hlinkClick r:id="rId29"/>
                    </pic:cNvPr>
                    <pic:cNvPicPr>
                      <a:picLocks noChangeAspect="1" noChangeArrowheads="1"/>
                    </pic:cNvPicPr>
                  </pic:nvPicPr>
                  <pic:blipFill>
                    <a:blip r:embed="rId30" r:link="rId31" cstate="print">
                      <a:extLst>
                        <a:ext uri="{28A0092B-C50C-407E-A947-70E740481C1C}">
                          <a14:useLocalDpi xmlns:a14="http://schemas.microsoft.com/office/drawing/2010/main" val="0"/>
                        </a:ext>
                      </a:extLst>
                    </a:blip>
                    <a:srcRect/>
                    <a:stretch>
                      <a:fillRect/>
                    </a:stretch>
                  </pic:blipFill>
                  <pic:spPr bwMode="auto">
                    <a:xfrm>
                      <a:off x="0" y="0"/>
                      <a:ext cx="212400" cy="226560"/>
                    </a:xfrm>
                    <a:prstGeom prst="rect">
                      <a:avLst/>
                    </a:prstGeom>
                    <a:noFill/>
                    <a:ln>
                      <a:noFill/>
                    </a:ln>
                  </pic:spPr>
                </pic:pic>
              </a:graphicData>
            </a:graphic>
          </wp:inline>
        </w:drawing>
      </w:r>
      <w:r w:rsidRPr="007302BF">
        <w:rPr>
          <w:bCs/>
        </w:rPr>
        <w:t> </w:t>
      </w:r>
    </w:p>
    <w:p w14:paraId="5A566DF2" w14:textId="4E4E184B" w:rsidR="00A235B6" w:rsidRPr="00C64876" w:rsidRDefault="00A235B6" w:rsidP="00C64876">
      <w:pPr>
        <w:jc w:val="center"/>
        <w:rPr>
          <w:rFonts w:ascii="Segoe UI" w:hAnsi="Segoe UI" w:cs="Segoe UI"/>
          <w:b/>
          <w:color w:val="2C1263" w:themeColor="text2"/>
          <w:sz w:val="18"/>
          <w:szCs w:val="20"/>
        </w:rPr>
      </w:pPr>
    </w:p>
    <w:sectPr w:rsidR="00A235B6" w:rsidRPr="00C64876" w:rsidSect="006F554F">
      <w:endnotePr>
        <w:numFmt w:val="decimal"/>
      </w:endnotePr>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61B52" w14:textId="77777777" w:rsidR="00E83F42" w:rsidRDefault="00E83F42" w:rsidP="001F7C4E">
      <w:pPr>
        <w:spacing w:after="0" w:line="240" w:lineRule="auto"/>
      </w:pPr>
      <w:r>
        <w:separator/>
      </w:r>
    </w:p>
  </w:endnote>
  <w:endnote w:type="continuationSeparator" w:id="0">
    <w:p w14:paraId="22E693AF" w14:textId="77777777" w:rsidR="00E83F42" w:rsidRDefault="00E83F42" w:rsidP="001F7C4E">
      <w:pPr>
        <w:spacing w:after="0" w:line="240" w:lineRule="auto"/>
      </w:pPr>
      <w:r>
        <w:continuationSeparator/>
      </w:r>
    </w:p>
  </w:endnote>
  <w:endnote w:type="continuationNotice" w:id="1">
    <w:p w14:paraId="100AD037" w14:textId="77777777" w:rsidR="00E83F42" w:rsidRDefault="00E83F42">
      <w:pPr>
        <w:spacing w:after="0" w:line="240" w:lineRule="auto"/>
      </w:pPr>
    </w:p>
  </w:endnote>
  <w:endnote w:id="2">
    <w:p w14:paraId="5D064763" w14:textId="77777777" w:rsidR="00721860" w:rsidRPr="008E5D4C" w:rsidRDefault="00721860" w:rsidP="00721860">
      <w:pPr>
        <w:pStyle w:val="EndnoteText"/>
        <w:rPr>
          <w:b/>
          <w:bCs/>
        </w:rPr>
      </w:pPr>
      <w:r>
        <w:rPr>
          <w:rStyle w:val="EndnoteReference"/>
        </w:rPr>
        <w:endnoteRef/>
      </w:r>
      <w:r>
        <w:t xml:space="preserve"> Australian Government Department of Education (2025). </w:t>
      </w:r>
      <w:r w:rsidRPr="0047745A">
        <w:rPr>
          <w:i/>
          <w:iCs/>
        </w:rPr>
        <w:t>International student monthly summary</w:t>
      </w:r>
      <w:r w:rsidRPr="0047745A">
        <w:t>, accessed 1 August 2025.</w:t>
      </w:r>
      <w:r>
        <w:t xml:space="preserve"> </w:t>
      </w:r>
      <w:hyperlink r:id="rId1" w:history="1">
        <w:r w:rsidRPr="00311D15">
          <w:rPr>
            <w:rStyle w:val="Hyperlink"/>
            <w:sz w:val="20"/>
          </w:rPr>
          <w:t>https://www.education.gov.au/international-education-data-and-research/international-student-monthly-summary-and-data-tables</w:t>
        </w:r>
      </w:hyperlink>
      <w:r>
        <w:t xml:space="preserve"> </w:t>
      </w:r>
    </w:p>
  </w:endnote>
  <w:endnote w:id="3">
    <w:p w14:paraId="1F36F6AD" w14:textId="77777777" w:rsidR="00AD1C72" w:rsidRDefault="00AD1C72" w:rsidP="00AD1C72">
      <w:pPr>
        <w:pStyle w:val="EndnoteText"/>
      </w:pPr>
      <w:r>
        <w:rPr>
          <w:rStyle w:val="EndnoteReference"/>
        </w:rPr>
        <w:endnoteRef/>
      </w:r>
      <w:r>
        <w:t xml:space="preserve"> Australian Government Department of Education (2025). </w:t>
      </w:r>
      <w:r>
        <w:rPr>
          <w:i/>
          <w:iCs/>
        </w:rPr>
        <w:t>Education export income – Calendar Year</w:t>
      </w:r>
      <w:r>
        <w:t xml:space="preserve">, accessed 1 August 2025. </w:t>
      </w:r>
      <w:hyperlink r:id="rId2" w:history="1">
        <w:r w:rsidRPr="00360016">
          <w:rPr>
            <w:rStyle w:val="Hyperlink"/>
            <w:sz w:val="20"/>
          </w:rPr>
          <w:t>https://www.education.gov.au/international-education-data-and-research/education-export-income-calendar-year</w:t>
        </w:r>
      </w:hyperlink>
      <w:r>
        <w:t xml:space="preserve">  </w:t>
      </w:r>
    </w:p>
  </w:endnote>
  <w:endnote w:id="4">
    <w:p w14:paraId="578331CB" w14:textId="6876EB14" w:rsidR="00924A2E" w:rsidRPr="00924A2E" w:rsidRDefault="00924A2E">
      <w:pPr>
        <w:pStyle w:val="EndnoteText"/>
      </w:pPr>
      <w:r>
        <w:rPr>
          <w:rStyle w:val="EndnoteReference"/>
        </w:rPr>
        <w:endnoteRef/>
      </w:r>
      <w:r>
        <w:t xml:space="preserve"> </w:t>
      </w:r>
      <w:r w:rsidRPr="00924A2E">
        <w:t xml:space="preserve">McCowage, </w:t>
      </w:r>
      <w:r>
        <w:t xml:space="preserve">M., </w:t>
      </w:r>
      <w:r w:rsidRPr="00924A2E">
        <w:t>Stinson</w:t>
      </w:r>
      <w:r>
        <w:t>, H. &amp;</w:t>
      </w:r>
      <w:r w:rsidRPr="00924A2E">
        <w:t xml:space="preserve"> Fink</w:t>
      </w:r>
      <w:r>
        <w:t xml:space="preserve">, M. (2025) International Students and the Australian Economy. </w:t>
      </w:r>
      <w:r w:rsidRPr="00576D75">
        <w:rPr>
          <w:i/>
          <w:iCs/>
        </w:rPr>
        <w:t>Reserve Bank of Australia Bulletin</w:t>
      </w:r>
      <w:r>
        <w:t xml:space="preserve">, July 2025. </w:t>
      </w:r>
      <w:hyperlink r:id="rId3" w:history="1">
        <w:r w:rsidRPr="009B64BF">
          <w:rPr>
            <w:rStyle w:val="Hyperlink"/>
            <w:sz w:val="20"/>
          </w:rPr>
          <w:t>https://www.rba.gov.au/publications/bulletin/2025/jul/pdf/international-students-and-the-australian-economy.pdf</w:t>
        </w:r>
      </w:hyperlink>
      <w:r>
        <w:t xml:space="preserve"> </w:t>
      </w:r>
    </w:p>
  </w:endnote>
  <w:endnote w:id="5">
    <w:p w14:paraId="30FF5022" w14:textId="03D1F8CE" w:rsidR="008B75E4" w:rsidRPr="00576D75" w:rsidRDefault="008B75E4" w:rsidP="008B75E4">
      <w:pPr>
        <w:pStyle w:val="EndnoteText"/>
        <w:rPr>
          <w:lang w:val="en-US"/>
        </w:rPr>
      </w:pPr>
      <w:r>
        <w:rPr>
          <w:rStyle w:val="EndnoteReference"/>
        </w:rPr>
        <w:endnoteRef/>
      </w:r>
      <w:r>
        <w:t xml:space="preserve"> </w:t>
      </w:r>
      <w:r w:rsidRPr="008B75E4">
        <w:t>Jobs and Skills Australia</w:t>
      </w:r>
      <w:r>
        <w:t xml:space="preserve"> (2025)</w:t>
      </w:r>
      <w:r w:rsidRPr="008B75E4">
        <w:t xml:space="preserve"> International Students Outcomes and Pathways Study</w:t>
      </w:r>
      <w:r>
        <w:t xml:space="preserve">. Full Report, August 2025. </w:t>
      </w:r>
      <w:hyperlink r:id="rId4" w:history="1">
        <w:r w:rsidRPr="001D64BB">
          <w:rPr>
            <w:rStyle w:val="Hyperlink"/>
            <w:sz w:val="20"/>
          </w:rPr>
          <w:t>https://www.jobsandskills.gov.au/sites/default/files/2025-09/international_students_pathways_and_outcomes_study_report.pdf</w:t>
        </w:r>
      </w:hyperlink>
      <w:r>
        <w:t xml:space="preserve"> </w:t>
      </w:r>
    </w:p>
  </w:endnote>
  <w:endnote w:id="6">
    <w:p w14:paraId="0029B31D" w14:textId="77777777" w:rsidR="00AF62C6" w:rsidRPr="009465ED" w:rsidRDefault="00AF62C6" w:rsidP="00AF62C6">
      <w:pPr>
        <w:pStyle w:val="EndnoteText"/>
      </w:pPr>
      <w:r>
        <w:rPr>
          <w:rStyle w:val="EndnoteReference"/>
        </w:rPr>
        <w:endnoteRef/>
      </w:r>
      <w:r>
        <w:t xml:space="preserve"> McCowage, Stinson &amp; Fink (2025)</w:t>
      </w:r>
    </w:p>
  </w:endnote>
  <w:endnote w:id="7">
    <w:p w14:paraId="1AA21A20" w14:textId="77777777" w:rsidR="00AD1C72" w:rsidRDefault="00AD1C72" w:rsidP="00AD1C72">
      <w:pPr>
        <w:pStyle w:val="EndnoteText"/>
      </w:pPr>
      <w:r>
        <w:rPr>
          <w:rStyle w:val="EndnoteReference"/>
        </w:rPr>
        <w:endnoteRef/>
      </w:r>
      <w:r>
        <w:t xml:space="preserve"> Australian Government Department of Home Affairs (2024). </w:t>
      </w:r>
      <w:r>
        <w:rPr>
          <w:i/>
          <w:iCs/>
        </w:rPr>
        <w:t>Subclass 500: Student Visa</w:t>
      </w:r>
      <w:r>
        <w:t xml:space="preserve">, accessed 18 June 2024. </w:t>
      </w:r>
      <w:hyperlink r:id="rId5" w:anchor=":~:text=With%20this%20visa%20you%20can&amp;text=work%20up%20to%2048%20hours,or%20training%20is%20in%20session" w:history="1">
        <w:r w:rsidRPr="00360016">
          <w:rPr>
            <w:rStyle w:val="Hyperlink"/>
            <w:sz w:val="20"/>
          </w:rPr>
          <w:t>https://immi.homeaffairs.gov.au/visas/getting-a-visa/visa-listing/student-500#:~:text=With%20this%20visa%20you%20can&amp;text=work%20up%20to%2048%20hours,or%20training%20is%20in%20session</w:t>
        </w:r>
      </w:hyperlink>
      <w:r>
        <w:t xml:space="preserve">. </w:t>
      </w:r>
    </w:p>
  </w:endnote>
  <w:endnote w:id="8">
    <w:p w14:paraId="57D0F7D8" w14:textId="77777777" w:rsidR="00AD1C72" w:rsidRPr="000E5729" w:rsidRDefault="00AD1C72" w:rsidP="00AD1C72">
      <w:pPr>
        <w:pStyle w:val="EndnoteText"/>
      </w:pPr>
      <w:r>
        <w:rPr>
          <w:rStyle w:val="EndnoteReference"/>
        </w:rPr>
        <w:endnoteRef/>
      </w:r>
      <w:r>
        <w:t xml:space="preserve"> Nguyen, O.T.K &amp; Balakrishnan, V.D. (2020). International students in Australia – during and after COVID-19. </w:t>
      </w:r>
      <w:r>
        <w:rPr>
          <w:i/>
          <w:iCs/>
        </w:rPr>
        <w:t>Higher Education Research &amp; Development</w:t>
      </w:r>
      <w:r>
        <w:t xml:space="preserve">, 39(7), 1372-1376.  </w:t>
      </w:r>
      <w:hyperlink r:id="rId6" w:history="1">
        <w:r w:rsidRPr="000E5729">
          <w:rPr>
            <w:rStyle w:val="Hyperlink"/>
            <w:sz w:val="20"/>
          </w:rPr>
          <w:t>https://doi.org/10.1080/07294360.2020.1825346</w:t>
        </w:r>
      </w:hyperlink>
    </w:p>
    <w:p w14:paraId="06C0F87B" w14:textId="77777777" w:rsidR="00AD1C72" w:rsidRDefault="00AD1C72" w:rsidP="00AD1C72">
      <w:pPr>
        <w:pStyle w:val="EndnoteText"/>
      </w:pPr>
      <w:r>
        <w:t xml:space="preserve">Gallagher, H.L., Doherty, A.Z. &amp; Obonyo, M. (2020). International student experiences in Queensland during COVID-19. </w:t>
      </w:r>
      <w:r>
        <w:rPr>
          <w:i/>
          <w:iCs/>
        </w:rPr>
        <w:t>International Social Work</w:t>
      </w:r>
      <w:r>
        <w:t xml:space="preserve">, 63(6), 815-819. </w:t>
      </w:r>
      <w:hyperlink r:id="rId7" w:history="1">
        <w:r w:rsidRPr="000E5729">
          <w:rPr>
            <w:rStyle w:val="Hyperlink"/>
            <w:sz w:val="20"/>
          </w:rPr>
          <w:t>https://doi.org/10.1177/0020872820949621</w:t>
        </w:r>
      </w:hyperlink>
      <w:r>
        <w:t>.</w:t>
      </w:r>
    </w:p>
    <w:p w14:paraId="34094673" w14:textId="77777777" w:rsidR="00AD1C72" w:rsidRDefault="00AD1C72" w:rsidP="00AD1C72">
      <w:pPr>
        <w:pStyle w:val="EndnoteText"/>
      </w:pPr>
      <w:r>
        <w:t xml:space="preserve">Morris, A., Hastings, C., Wilson, S., Mitchell, E., Ramia, G. &amp; Overgaard, C. (2020). </w:t>
      </w:r>
      <w:r>
        <w:rPr>
          <w:i/>
          <w:iCs/>
        </w:rPr>
        <w:t>The experience of international students before and during COVID-19: Housing, work, study and wellbeing</w:t>
      </w:r>
      <w:r>
        <w:t xml:space="preserve">. Sydney: University of Technology Sydney. </w:t>
      </w:r>
      <w:hyperlink r:id="rId8" w:history="1">
        <w:r w:rsidRPr="00311D15">
          <w:rPr>
            <w:rStyle w:val="Hyperlink"/>
            <w:sz w:val="20"/>
          </w:rPr>
          <w:t>https://opus.lib.uts.edu.au/bitstream/10453/142533/2/internationalstudentsandhousing%20report%20ss.com%3A2020%3A08%3Ainternational-students-and-housing-survey-report-final-no-logos-5-aug-2020.pdf</w:t>
        </w:r>
      </w:hyperlink>
      <w:r>
        <w:t xml:space="preserve">. </w:t>
      </w:r>
    </w:p>
  </w:endnote>
  <w:endnote w:id="9">
    <w:p w14:paraId="62E0735B" w14:textId="77777777" w:rsidR="00AD1C72" w:rsidRDefault="00AD1C72" w:rsidP="00AD1C72">
      <w:pPr>
        <w:pStyle w:val="EndnoteText"/>
      </w:pPr>
      <w:r>
        <w:rPr>
          <w:rStyle w:val="EndnoteReference"/>
        </w:rPr>
        <w:endnoteRef/>
      </w:r>
      <w:r>
        <w:t xml:space="preserve"> Farbenblum, B. &amp; Berg, L. (2020). “We might not be citizens but we are still people”:  Australia’s disregard for the human rights of international students.” </w:t>
      </w:r>
      <w:r>
        <w:rPr>
          <w:i/>
          <w:iCs/>
        </w:rPr>
        <w:t>Australian Journal of Human Rights</w:t>
      </w:r>
      <w:r>
        <w:t xml:space="preserve">, 1-21, 486-506. </w:t>
      </w:r>
      <w:hyperlink r:id="rId9" w:history="1">
        <w:r w:rsidRPr="000E5729">
          <w:rPr>
            <w:rStyle w:val="Hyperlink"/>
            <w:sz w:val="20"/>
          </w:rPr>
          <w:t>https://doi.org/10.1080/1323238X.2021.1901645</w:t>
        </w:r>
      </w:hyperlink>
      <w:r>
        <w:t>.</w:t>
      </w:r>
    </w:p>
  </w:endnote>
  <w:endnote w:id="10">
    <w:p w14:paraId="15600024" w14:textId="01C821ED" w:rsidR="00A200E8" w:rsidRPr="00A200E8" w:rsidRDefault="00A200E8" w:rsidP="00A200E8">
      <w:pPr>
        <w:pStyle w:val="EndnoteText"/>
        <w:rPr>
          <w:lang w:val="en-US"/>
        </w:rPr>
      </w:pPr>
      <w:r>
        <w:rPr>
          <w:rStyle w:val="EndnoteReference"/>
        </w:rPr>
        <w:endnoteRef/>
      </w:r>
      <w:r>
        <w:t xml:space="preserve"> </w:t>
      </w:r>
      <w:r w:rsidRPr="00A200E8">
        <w:t>Mundie, A., Mullens, A. B., Fein, E. C., Bell, S. F. E., Debattista, J., Ariana, A., … Dean, J. A. (2024). University students’ access and use of sexual and reproductive health services in Australia. </w:t>
      </w:r>
      <w:r w:rsidRPr="00A200E8">
        <w:rPr>
          <w:i/>
          <w:iCs/>
        </w:rPr>
        <w:t>Culture, Health &amp; Sexuality</w:t>
      </w:r>
      <w:r w:rsidRPr="00A200E8">
        <w:t>, </w:t>
      </w:r>
      <w:r w:rsidRPr="00A200E8">
        <w:rPr>
          <w:i/>
          <w:iCs/>
        </w:rPr>
        <w:t>27</w:t>
      </w:r>
      <w:r w:rsidRPr="00A200E8">
        <w:t xml:space="preserve">(10), 1261–1277. </w:t>
      </w:r>
      <w:hyperlink r:id="rId10" w:history="1">
        <w:r w:rsidRPr="00A65C1F">
          <w:rPr>
            <w:rStyle w:val="Hyperlink"/>
            <w:sz w:val="20"/>
          </w:rPr>
          <w:t>https://doi.org/10.1080/13691058.2024.2410834</w:t>
        </w:r>
      </w:hyperlink>
      <w:r>
        <w:t>, p. 1263.</w:t>
      </w:r>
    </w:p>
  </w:endnote>
  <w:endnote w:id="11">
    <w:p w14:paraId="57B65222" w14:textId="77777777" w:rsidR="00AD1C72" w:rsidRPr="00E500D5" w:rsidRDefault="00AD1C72" w:rsidP="00AD1C72">
      <w:pPr>
        <w:pStyle w:val="EndnoteText"/>
      </w:pPr>
      <w:r>
        <w:rPr>
          <w:rStyle w:val="EndnoteReference"/>
        </w:rPr>
        <w:endnoteRef/>
      </w:r>
      <w:r>
        <w:t xml:space="preserve"> </w:t>
      </w:r>
      <w:r w:rsidRPr="00E500D5">
        <w:t xml:space="preserve">M. Vazquez Corona, A. Hazfiarini, J. Cao, et al., “ Migrant Mums and Maternity Care: A Qualitative Participatory Health Research Study,” </w:t>
      </w:r>
      <w:r w:rsidRPr="00E500D5">
        <w:rPr>
          <w:i/>
          <w:iCs/>
        </w:rPr>
        <w:t>BJOG: An International Journal of Obstetrics &amp; Gynaecology</w:t>
      </w:r>
      <w:r w:rsidRPr="00E500D5">
        <w:t xml:space="preserve"> (2025): 1–10, </w:t>
      </w:r>
      <w:hyperlink r:id="rId11" w:history="1">
        <w:r w:rsidRPr="00E500D5">
          <w:rPr>
            <w:rStyle w:val="Hyperlink"/>
            <w:sz w:val="20"/>
          </w:rPr>
          <w:t>https://doi.org/10.1111/1471-0528.18249</w:t>
        </w:r>
      </w:hyperlink>
      <w:r w:rsidRPr="00E500D5">
        <w:t>.</w:t>
      </w:r>
    </w:p>
  </w:endnote>
  <w:endnote w:id="12">
    <w:p w14:paraId="336335D1" w14:textId="473A4B34" w:rsidR="00576D75" w:rsidRPr="005B7BAB" w:rsidRDefault="005B7BAB">
      <w:pPr>
        <w:pStyle w:val="EndnoteText"/>
        <w:rPr>
          <w:lang w:val="en-US"/>
        </w:rPr>
      </w:pPr>
      <w:r>
        <w:rPr>
          <w:rStyle w:val="EndnoteReference"/>
        </w:rPr>
        <w:endnoteRef/>
      </w:r>
      <w:r>
        <w:t xml:space="preserve"> </w:t>
      </w:r>
      <w:r>
        <w:rPr>
          <w:lang w:val="en-US"/>
        </w:rPr>
        <w:t>Mundie et al. (2024)</w:t>
      </w:r>
    </w:p>
  </w:endnote>
  <w:endnote w:id="13">
    <w:p w14:paraId="394010B9" w14:textId="4E1D1C09" w:rsidR="005B7BAB" w:rsidRPr="005B7BAB" w:rsidRDefault="005B7BAB">
      <w:pPr>
        <w:pStyle w:val="EndnoteText"/>
        <w:rPr>
          <w:lang w:val="en-US"/>
        </w:rPr>
      </w:pPr>
      <w:r>
        <w:rPr>
          <w:rStyle w:val="EndnoteReference"/>
        </w:rPr>
        <w:endnoteRef/>
      </w:r>
      <w:r>
        <w:t xml:space="preserve"> </w:t>
      </w:r>
      <w:r w:rsidR="00576D75" w:rsidRPr="00576D75">
        <w:t>C. Labra-Odde, A. Tong, G. Tran, A. Lekshmi and D. Ansari (2025). End All Bias: Migrant and Refugee</w:t>
      </w:r>
      <w:r w:rsidR="00576D75">
        <w:t xml:space="preserve"> </w:t>
      </w:r>
      <w:r w:rsidR="00576D75" w:rsidRPr="00576D75">
        <w:t>Women’s Experiences of the Australian Health System. Multicultural Centre for Women’s Health: Melbourne.</w:t>
      </w:r>
      <w:r>
        <w:rPr>
          <w:lang w:val="en-US"/>
        </w:rPr>
        <w:t xml:space="preserve"> </w:t>
      </w:r>
    </w:p>
  </w:endnote>
  <w:endnote w:id="14">
    <w:p w14:paraId="78E54AD7" w14:textId="61BBEC11" w:rsidR="00550270" w:rsidRPr="00E9155E" w:rsidRDefault="00550270">
      <w:pPr>
        <w:pStyle w:val="EndnoteText"/>
      </w:pPr>
      <w:r>
        <w:rPr>
          <w:rStyle w:val="EndnoteReference"/>
        </w:rPr>
        <w:endnoteRef/>
      </w:r>
      <w:r>
        <w:t xml:space="preserve"> Australian Government Department of Health (2020)</w:t>
      </w:r>
      <w:r w:rsidR="00917181">
        <w:t>.</w:t>
      </w:r>
      <w:r>
        <w:t xml:space="preserve"> </w:t>
      </w:r>
      <w:r w:rsidRPr="00917181">
        <w:rPr>
          <w:i/>
          <w:iCs/>
        </w:rPr>
        <w:t>Overseas Student Health Cover (OSHC) Explanatory Guideline for Consumers</w:t>
      </w:r>
      <w:r w:rsidR="00917181">
        <w:t>.</w:t>
      </w:r>
      <w:r>
        <w:t xml:space="preserve"> </w:t>
      </w:r>
      <w:hyperlink r:id="rId12" w:history="1">
        <w:r w:rsidRPr="00CE0256">
          <w:rPr>
            <w:rStyle w:val="Hyperlink"/>
            <w:sz w:val="20"/>
          </w:rPr>
          <w:t>https://www.health.gov.au/sites/default/files/documents/2020/06/overseas-student-health-cover-oshc-explanatory-guidelines-for-consumers-oshc-explanatory-guidelines-for-consumers_0.pdf</w:t>
        </w:r>
      </w:hyperlink>
      <w:r>
        <w:t xml:space="preserve"> </w:t>
      </w:r>
    </w:p>
  </w:endnote>
  <w:endnote w:id="15">
    <w:p w14:paraId="3DEF953F" w14:textId="77777777" w:rsidR="0008473F" w:rsidRPr="006662C8" w:rsidRDefault="0008473F" w:rsidP="0008473F">
      <w:pPr>
        <w:pStyle w:val="EndnoteText"/>
      </w:pPr>
      <w:r>
        <w:rPr>
          <w:rStyle w:val="EndnoteReference"/>
        </w:rPr>
        <w:endnoteRef/>
      </w:r>
      <w:r>
        <w:t xml:space="preserve"> </w:t>
      </w:r>
      <w:hyperlink r:id="rId13" w:history="1">
        <w:r>
          <w:rPr>
            <w:rStyle w:val="Hyperlink"/>
          </w:rPr>
          <w:t>2013</w:t>
        </w:r>
        <w:r w:rsidRPr="004247D3">
          <w:rPr>
            <w:rStyle w:val="Hyperlink"/>
          </w:rPr>
          <w:t xml:space="preserve"> Position Paper on International Student Access to Pregnancy-Related Care</w:t>
        </w:r>
      </w:hyperlink>
    </w:p>
  </w:endnote>
  <w:endnote w:id="16">
    <w:p w14:paraId="73B44166" w14:textId="122ADF33" w:rsidR="00550270" w:rsidRPr="00430127" w:rsidRDefault="00550270" w:rsidP="00A42AF3">
      <w:pPr>
        <w:pStyle w:val="EndnoteText"/>
      </w:pPr>
      <w:r>
        <w:rPr>
          <w:rStyle w:val="EndnoteReference"/>
        </w:rPr>
        <w:endnoteRef/>
      </w:r>
      <w:r>
        <w:t xml:space="preserve"> </w:t>
      </w:r>
      <w:r w:rsidRPr="00E2582C">
        <w:t>Poljski</w:t>
      </w:r>
      <w:r>
        <w:t>,</w:t>
      </w:r>
      <w:r w:rsidR="00917181">
        <w:t xml:space="preserve"> C.,</w:t>
      </w:r>
      <w:r w:rsidRPr="00E2582C">
        <w:t xml:space="preserve"> Quiazon</w:t>
      </w:r>
      <w:r w:rsidR="00917181">
        <w:t>, R.</w:t>
      </w:r>
      <w:r w:rsidRPr="00E2582C">
        <w:t xml:space="preserve"> and Tran</w:t>
      </w:r>
      <w:r w:rsidR="00917181">
        <w:t>, C. (2014)</w:t>
      </w:r>
      <w:r w:rsidRPr="00E2582C">
        <w:t xml:space="preserve">. Ensuring Rights: Improving Access to Sexual and Reproductive Health Services for Female International Students in Australia. </w:t>
      </w:r>
      <w:r w:rsidRPr="00F16C3C">
        <w:rPr>
          <w:i/>
          <w:iCs/>
        </w:rPr>
        <w:t>Journal of International Students</w:t>
      </w:r>
      <w:r w:rsidR="00917181">
        <w:t xml:space="preserve">, 4(2), 150-163. </w:t>
      </w:r>
      <w:hyperlink r:id="rId14" w:history="1">
        <w:r w:rsidR="00917181" w:rsidRPr="00311D15">
          <w:rPr>
            <w:rStyle w:val="Hyperlink"/>
            <w:sz w:val="20"/>
          </w:rPr>
          <w:t>https://doi.org/10.32674/jis.v4i2.475</w:t>
        </w:r>
      </w:hyperlink>
      <w:r w:rsidR="00917181">
        <w:t xml:space="preserve">. </w:t>
      </w:r>
    </w:p>
  </w:endnote>
  <w:endnote w:id="17">
    <w:p w14:paraId="27A90AAC" w14:textId="77777777" w:rsidR="00C7079B" w:rsidRDefault="00C7079B" w:rsidP="00C7079B">
      <w:pPr>
        <w:pStyle w:val="EndnoteText"/>
      </w:pPr>
      <w:r>
        <w:rPr>
          <w:rStyle w:val="EndnoteReference"/>
        </w:rPr>
        <w:endnoteRef/>
      </w:r>
      <w:r>
        <w:t xml:space="preserve"> Tran, G., Forbes-Mewett, H., Tran, L.T., Hach, M. &amp; Tarzia, L. (2025). Help-Seeking After Intimate Partner or Sexual Violence: Exploring the Experiences of International Student Women in Australia. </w:t>
      </w:r>
      <w:r>
        <w:rPr>
          <w:i/>
          <w:iCs/>
        </w:rPr>
        <w:t>Violence Against Women</w:t>
      </w:r>
      <w:r>
        <w:t xml:space="preserve">, 31(10), 2574-2602. </w:t>
      </w:r>
      <w:hyperlink r:id="rId15" w:history="1">
        <w:r w:rsidRPr="00B0516A">
          <w:rPr>
            <w:rStyle w:val="Hyperlink"/>
            <w:sz w:val="20"/>
          </w:rPr>
          <w:t>https://doi.org/10.1177/10778012241247198</w:t>
        </w:r>
      </w:hyperlink>
      <w:r>
        <w:t>.</w:t>
      </w:r>
    </w:p>
  </w:endnote>
  <w:endnote w:id="18">
    <w:p w14:paraId="6A73B317" w14:textId="01127A32" w:rsidR="00713382" w:rsidRPr="003D1C92" w:rsidRDefault="00713382" w:rsidP="00713382">
      <w:pPr>
        <w:pStyle w:val="EndnoteText"/>
      </w:pPr>
      <w:r>
        <w:rPr>
          <w:rStyle w:val="EndnoteReference"/>
        </w:rPr>
        <w:endnoteRef/>
      </w:r>
      <w:r>
        <w:t xml:space="preserve"> Consultations were held </w:t>
      </w:r>
      <w:r w:rsidRPr="0013775D">
        <w:t>from 9 May – 24 June 2024</w:t>
      </w:r>
      <w:r>
        <w:t xml:space="preserve">. See Australian Government Department of Health (2024). </w:t>
      </w:r>
      <w:r>
        <w:rPr>
          <w:i/>
          <w:iCs/>
        </w:rPr>
        <w:t>Issues Paper: Overseas Student Health Cover</w:t>
      </w:r>
      <w:r>
        <w:t xml:space="preserve">. </w:t>
      </w:r>
      <w:hyperlink r:id="rId16" w:history="1">
        <w:r w:rsidRPr="00311D15">
          <w:rPr>
            <w:rStyle w:val="Hyperlink"/>
            <w:sz w:val="20"/>
          </w:rPr>
          <w:t>https://consultations.health.gov.au/provider-benefits-integrity/improving-the-oshc-program/supporting_documents/Overseas%20Student%20Health%20Cover%20Consultation%20Paper%20%20May%202024.pdf</w:t>
        </w:r>
      </w:hyperlink>
      <w:r>
        <w:t xml:space="preserve">. For submissions, see the Australian Government Department of Health, Disability and Ageing, Consultation Paper – </w:t>
      </w:r>
      <w:r w:rsidRPr="00BF3B0F">
        <w:rPr>
          <w:i/>
          <w:iCs/>
        </w:rPr>
        <w:t xml:space="preserve">Improving the </w:t>
      </w:r>
      <w:r w:rsidR="00BF3B0F" w:rsidRPr="00BF3B0F">
        <w:rPr>
          <w:i/>
          <w:iCs/>
        </w:rPr>
        <w:t>Overseas</w:t>
      </w:r>
      <w:r w:rsidRPr="00BF3B0F">
        <w:rPr>
          <w:i/>
          <w:iCs/>
        </w:rPr>
        <w:t xml:space="preserve"> Health Cover Program – May 2024</w:t>
      </w:r>
      <w:r>
        <w:t xml:space="preserve"> (webpage) </w:t>
      </w:r>
      <w:hyperlink r:id="rId17" w:history="1">
        <w:r w:rsidRPr="00AA0918">
          <w:rPr>
            <w:rStyle w:val="Hyperlink"/>
            <w:sz w:val="20"/>
          </w:rPr>
          <w:t>https://consultations.health.gov.au/provider-benefits-integrity/improving-the-oshc-program/</w:t>
        </w:r>
      </w:hyperlink>
      <w:r>
        <w:t xml:space="preserve"> </w:t>
      </w:r>
      <w:r w:rsidR="00BF3B0F">
        <w:t>Accessed</w:t>
      </w:r>
      <w:r>
        <w:t xml:space="preserve"> 30 September 2025.</w:t>
      </w:r>
    </w:p>
  </w:endnote>
  <w:endnote w:id="19">
    <w:p w14:paraId="04057DE0" w14:textId="77777777" w:rsidR="0062763C" w:rsidRDefault="0062763C" w:rsidP="0062763C">
      <w:pPr>
        <w:pStyle w:val="EndnoteText"/>
      </w:pPr>
      <w:r>
        <w:rPr>
          <w:rStyle w:val="EndnoteReference"/>
        </w:rPr>
        <w:endnoteRef/>
      </w:r>
      <w:r>
        <w:t xml:space="preserve"> Backman, B., Dunn, M., George, N.A., Whiteside, B. &amp; MacKay, F.H. (2023). “Am I Really Living of Just Getting by?” Financial Security and Health-Related Decisions among International Students in Australia. </w:t>
      </w:r>
      <w:r>
        <w:rPr>
          <w:i/>
          <w:iCs/>
        </w:rPr>
        <w:t>Journal of Studies in International Education</w:t>
      </w:r>
      <w:r>
        <w:t xml:space="preserve">, 28(3), 440-457. </w:t>
      </w:r>
      <w:hyperlink r:id="rId18" w:history="1">
        <w:r w:rsidRPr="00917181">
          <w:rPr>
            <w:rStyle w:val="Hyperlink"/>
            <w:sz w:val="20"/>
          </w:rPr>
          <w:t>https://doi.org/10.1177/10283153231178135</w:t>
        </w:r>
      </w:hyperlink>
      <w:r w:rsidRPr="00917181">
        <w:t> </w:t>
      </w:r>
    </w:p>
  </w:endnote>
  <w:endnote w:id="20">
    <w:p w14:paraId="61BA9A11" w14:textId="77777777" w:rsidR="0062763C" w:rsidRPr="00046A08" w:rsidRDefault="0062763C" w:rsidP="0062763C">
      <w:pPr>
        <w:pStyle w:val="EndnoteText"/>
      </w:pPr>
      <w:r>
        <w:rPr>
          <w:rStyle w:val="EndnoteReference"/>
        </w:rPr>
        <w:endnoteRef/>
      </w:r>
      <w:r>
        <w:t xml:space="preserve"> Private Healthcare Australia (2024). Consultation Paper: </w:t>
      </w:r>
      <w:r w:rsidRPr="00046A08">
        <w:rPr>
          <w:i/>
          <w:iCs/>
        </w:rPr>
        <w:t xml:space="preserve">Improving the Overseas Student </w:t>
      </w:r>
      <w:r>
        <w:rPr>
          <w:i/>
          <w:iCs/>
        </w:rPr>
        <w:t>H</w:t>
      </w:r>
      <w:r w:rsidRPr="00046A08">
        <w:rPr>
          <w:i/>
          <w:iCs/>
        </w:rPr>
        <w:t>ealth Cover Program</w:t>
      </w:r>
      <w:r>
        <w:t xml:space="preserve">. </w:t>
      </w:r>
      <w:hyperlink r:id="rId19" w:history="1">
        <w:r w:rsidRPr="00311D15">
          <w:rPr>
            <w:rStyle w:val="Hyperlink"/>
            <w:sz w:val="20"/>
          </w:rPr>
          <w:t>https://privatehealthcareaustralia.org.au/wp-content/uploads/20240624-PHA-submission-to-OSHC-consultation.pdf</w:t>
        </w:r>
      </w:hyperlink>
      <w:r>
        <w:t xml:space="preserve">. </w:t>
      </w:r>
    </w:p>
  </w:endnote>
  <w:endnote w:id="21">
    <w:p w14:paraId="2E5C2A26" w14:textId="77777777" w:rsidR="0062763C" w:rsidRDefault="0062763C" w:rsidP="0062763C">
      <w:pPr>
        <w:pStyle w:val="EndnoteText"/>
      </w:pPr>
      <w:r>
        <w:rPr>
          <w:rStyle w:val="EndnoteReference"/>
        </w:rPr>
        <w:endnoteRef/>
      </w:r>
      <w:r>
        <w:t xml:space="preserve"> </w:t>
      </w:r>
      <w:r w:rsidRPr="000E5729">
        <w:rPr>
          <w:i/>
          <w:iCs/>
        </w:rPr>
        <w:t>Poljski et al.</w:t>
      </w:r>
      <w:r>
        <w:t xml:space="preserve"> (n 5)</w:t>
      </w:r>
    </w:p>
  </w:endnote>
  <w:endnote w:id="22">
    <w:p w14:paraId="02AB5D5C" w14:textId="77777777" w:rsidR="001802E1" w:rsidRPr="00B57E54" w:rsidRDefault="001802E1" w:rsidP="001802E1">
      <w:pPr>
        <w:pStyle w:val="EndnoteText"/>
        <w:rPr>
          <w:lang w:val="en-US"/>
        </w:rPr>
      </w:pPr>
      <w:r>
        <w:rPr>
          <w:rStyle w:val="EndnoteReference"/>
        </w:rPr>
        <w:endnoteRef/>
      </w:r>
      <w:r>
        <w:t xml:space="preserve"> </w:t>
      </w:r>
      <w:r>
        <w:rPr>
          <w:lang w:val="en-US"/>
        </w:rPr>
        <w:t xml:space="preserve">Australian human Rights Commission (December 2021) </w:t>
      </w:r>
      <w:r w:rsidRPr="00B57E54">
        <w:rPr>
          <w:i/>
          <w:iCs/>
          <w:lang w:val="en-US"/>
        </w:rPr>
        <w:t>International Student Principles</w:t>
      </w:r>
      <w:r>
        <w:rPr>
          <w:lang w:val="en-US"/>
        </w:rPr>
        <w:t xml:space="preserve">. </w:t>
      </w:r>
      <w:hyperlink r:id="rId20" w:history="1">
        <w:r w:rsidRPr="00926A5B">
          <w:rPr>
            <w:rStyle w:val="Hyperlink"/>
            <w:sz w:val="20"/>
            <w:lang w:val="en-US"/>
          </w:rPr>
          <w:t>https://humanrights.gov.au/sites/default/files/ahrc_international_student_principles_21th_jan2022.pdf__0.pdf</w:t>
        </w:r>
      </w:hyperlink>
      <w:r>
        <w:rPr>
          <w:lang w:val="en-US"/>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SimHei">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432285109"/>
      <w:docPartObj>
        <w:docPartGallery w:val="Page Numbers (Bottom of Page)"/>
        <w:docPartUnique/>
      </w:docPartObj>
    </w:sdtPr>
    <w:sdtEndPr/>
    <w:sdtContent>
      <w:sdt>
        <w:sdtPr>
          <w:rPr>
            <w:sz w:val="18"/>
            <w:szCs w:val="18"/>
          </w:rPr>
          <w:id w:val="-1769616900"/>
          <w:docPartObj>
            <w:docPartGallery w:val="Page Numbers (Top of Page)"/>
            <w:docPartUnique/>
          </w:docPartObj>
        </w:sdtPr>
        <w:sdtEndPr/>
        <w:sdtContent>
          <w:p w14:paraId="42818B58" w14:textId="662B9C05" w:rsidR="00230B85" w:rsidRPr="00DB4B27" w:rsidRDefault="00230B85">
            <w:pPr>
              <w:pStyle w:val="Footer"/>
              <w:jc w:val="right"/>
              <w:rPr>
                <w:sz w:val="18"/>
                <w:szCs w:val="18"/>
              </w:rPr>
            </w:pPr>
            <w:r w:rsidRPr="00DB4B27">
              <w:rPr>
                <w:sz w:val="18"/>
                <w:szCs w:val="18"/>
              </w:rPr>
              <w:t xml:space="preserve">MCWH </w:t>
            </w:r>
            <w:r w:rsidR="00EC412B">
              <w:rPr>
                <w:sz w:val="18"/>
                <w:szCs w:val="18"/>
              </w:rPr>
              <w:t xml:space="preserve">Position Paper on Overseas Student Health Cover </w:t>
            </w:r>
            <w:r w:rsidRPr="00DB4B27">
              <w:rPr>
                <w:sz w:val="18"/>
                <w:szCs w:val="18"/>
              </w:rPr>
              <w:tab/>
              <w:t xml:space="preserve">Page </w:t>
            </w:r>
            <w:r w:rsidRPr="00DB4B27">
              <w:rPr>
                <w:b/>
                <w:bCs/>
                <w:sz w:val="18"/>
                <w:szCs w:val="18"/>
              </w:rPr>
              <w:fldChar w:fldCharType="begin"/>
            </w:r>
            <w:r w:rsidRPr="00DB4B27">
              <w:rPr>
                <w:b/>
                <w:bCs/>
                <w:sz w:val="18"/>
                <w:szCs w:val="18"/>
              </w:rPr>
              <w:instrText xml:space="preserve"> PAGE </w:instrText>
            </w:r>
            <w:r w:rsidRPr="00DB4B27">
              <w:rPr>
                <w:b/>
                <w:bCs/>
                <w:sz w:val="18"/>
                <w:szCs w:val="18"/>
              </w:rPr>
              <w:fldChar w:fldCharType="separate"/>
            </w:r>
            <w:r w:rsidRPr="00DB4B27">
              <w:rPr>
                <w:b/>
                <w:bCs/>
                <w:noProof/>
                <w:sz w:val="18"/>
                <w:szCs w:val="18"/>
              </w:rPr>
              <w:t>2</w:t>
            </w:r>
            <w:r w:rsidRPr="00DB4B27">
              <w:rPr>
                <w:b/>
                <w:bCs/>
                <w:sz w:val="18"/>
                <w:szCs w:val="18"/>
              </w:rPr>
              <w:fldChar w:fldCharType="end"/>
            </w:r>
            <w:r w:rsidRPr="00DB4B27">
              <w:rPr>
                <w:sz w:val="18"/>
                <w:szCs w:val="18"/>
              </w:rPr>
              <w:t xml:space="preserve"> of </w:t>
            </w:r>
            <w:r w:rsidRPr="00DB4B27">
              <w:rPr>
                <w:b/>
                <w:bCs/>
                <w:sz w:val="18"/>
                <w:szCs w:val="18"/>
              </w:rPr>
              <w:fldChar w:fldCharType="begin"/>
            </w:r>
            <w:r w:rsidRPr="00DB4B27">
              <w:rPr>
                <w:b/>
                <w:bCs/>
                <w:sz w:val="18"/>
                <w:szCs w:val="18"/>
              </w:rPr>
              <w:instrText xml:space="preserve"> NUMPAGES  </w:instrText>
            </w:r>
            <w:r w:rsidRPr="00DB4B27">
              <w:rPr>
                <w:b/>
                <w:bCs/>
                <w:sz w:val="18"/>
                <w:szCs w:val="18"/>
              </w:rPr>
              <w:fldChar w:fldCharType="separate"/>
            </w:r>
            <w:r w:rsidRPr="00DB4B27">
              <w:rPr>
                <w:b/>
                <w:bCs/>
                <w:noProof/>
                <w:sz w:val="18"/>
                <w:szCs w:val="18"/>
              </w:rPr>
              <w:t>2</w:t>
            </w:r>
            <w:r w:rsidRPr="00DB4B27">
              <w:rPr>
                <w:b/>
                <w:bCs/>
                <w:sz w:val="18"/>
                <w:szCs w:val="18"/>
              </w:rPr>
              <w:fldChar w:fldCharType="end"/>
            </w:r>
          </w:p>
        </w:sdtContent>
      </w:sdt>
    </w:sdtContent>
  </w:sdt>
  <w:p w14:paraId="02C6F5C6" w14:textId="59A24D6F" w:rsidR="001F7C4E" w:rsidRPr="00230B85" w:rsidRDefault="001F7C4E" w:rsidP="00161351">
    <w:pPr>
      <w:pStyle w:val="Footer"/>
      <w:jc w:val="right"/>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3DB2A" w14:textId="77777777" w:rsidR="00E83F42" w:rsidRDefault="00E83F42" w:rsidP="001F7C4E">
      <w:pPr>
        <w:spacing w:after="0" w:line="240" w:lineRule="auto"/>
      </w:pPr>
      <w:r>
        <w:separator/>
      </w:r>
    </w:p>
  </w:footnote>
  <w:footnote w:type="continuationSeparator" w:id="0">
    <w:p w14:paraId="7E4FB367" w14:textId="77777777" w:rsidR="00E83F42" w:rsidRDefault="00E83F42" w:rsidP="001F7C4E">
      <w:pPr>
        <w:spacing w:after="0" w:line="240" w:lineRule="auto"/>
      </w:pPr>
      <w:r>
        <w:continuationSeparator/>
      </w:r>
    </w:p>
  </w:footnote>
  <w:footnote w:type="continuationNotice" w:id="1">
    <w:p w14:paraId="3A800809" w14:textId="77777777" w:rsidR="00E83F42" w:rsidRDefault="00E83F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3BA99" w14:textId="02F3DF38" w:rsidR="00E41BB5" w:rsidRDefault="00E41BB5" w:rsidP="007302B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24773"/>
    <w:multiLevelType w:val="multilevel"/>
    <w:tmpl w:val="9D8A4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90387"/>
    <w:multiLevelType w:val="hybridMultilevel"/>
    <w:tmpl w:val="098A64CE"/>
    <w:lvl w:ilvl="0" w:tplc="AD38DBF6">
      <w:start w:val="1"/>
      <w:numFmt w:val="bullet"/>
      <w:lvlText w:val=""/>
      <w:lvlJc w:val="left"/>
      <w:pPr>
        <w:ind w:left="720" w:hanging="360"/>
      </w:pPr>
      <w:rPr>
        <w:rFonts w:ascii="Symbol" w:hAnsi="Symbol"/>
      </w:rPr>
    </w:lvl>
    <w:lvl w:ilvl="1" w:tplc="23EEEACE">
      <w:start w:val="1"/>
      <w:numFmt w:val="bullet"/>
      <w:lvlText w:val=""/>
      <w:lvlJc w:val="left"/>
      <w:pPr>
        <w:ind w:left="720" w:hanging="360"/>
      </w:pPr>
      <w:rPr>
        <w:rFonts w:ascii="Symbol" w:hAnsi="Symbol"/>
      </w:rPr>
    </w:lvl>
    <w:lvl w:ilvl="2" w:tplc="95461132">
      <w:start w:val="1"/>
      <w:numFmt w:val="bullet"/>
      <w:lvlText w:val=""/>
      <w:lvlJc w:val="left"/>
      <w:pPr>
        <w:ind w:left="720" w:hanging="360"/>
      </w:pPr>
      <w:rPr>
        <w:rFonts w:ascii="Symbol" w:hAnsi="Symbol"/>
      </w:rPr>
    </w:lvl>
    <w:lvl w:ilvl="3" w:tplc="F88A8160">
      <w:start w:val="1"/>
      <w:numFmt w:val="bullet"/>
      <w:lvlText w:val=""/>
      <w:lvlJc w:val="left"/>
      <w:pPr>
        <w:ind w:left="720" w:hanging="360"/>
      </w:pPr>
      <w:rPr>
        <w:rFonts w:ascii="Symbol" w:hAnsi="Symbol"/>
      </w:rPr>
    </w:lvl>
    <w:lvl w:ilvl="4" w:tplc="E940DA82">
      <w:start w:val="1"/>
      <w:numFmt w:val="bullet"/>
      <w:lvlText w:val=""/>
      <w:lvlJc w:val="left"/>
      <w:pPr>
        <w:ind w:left="720" w:hanging="360"/>
      </w:pPr>
      <w:rPr>
        <w:rFonts w:ascii="Symbol" w:hAnsi="Symbol"/>
      </w:rPr>
    </w:lvl>
    <w:lvl w:ilvl="5" w:tplc="533EF464">
      <w:start w:val="1"/>
      <w:numFmt w:val="bullet"/>
      <w:lvlText w:val=""/>
      <w:lvlJc w:val="left"/>
      <w:pPr>
        <w:ind w:left="720" w:hanging="360"/>
      </w:pPr>
      <w:rPr>
        <w:rFonts w:ascii="Symbol" w:hAnsi="Symbol"/>
      </w:rPr>
    </w:lvl>
    <w:lvl w:ilvl="6" w:tplc="23666FCC">
      <w:start w:val="1"/>
      <w:numFmt w:val="bullet"/>
      <w:lvlText w:val=""/>
      <w:lvlJc w:val="left"/>
      <w:pPr>
        <w:ind w:left="720" w:hanging="360"/>
      </w:pPr>
      <w:rPr>
        <w:rFonts w:ascii="Symbol" w:hAnsi="Symbol"/>
      </w:rPr>
    </w:lvl>
    <w:lvl w:ilvl="7" w:tplc="6302A82E">
      <w:start w:val="1"/>
      <w:numFmt w:val="bullet"/>
      <w:lvlText w:val=""/>
      <w:lvlJc w:val="left"/>
      <w:pPr>
        <w:ind w:left="720" w:hanging="360"/>
      </w:pPr>
      <w:rPr>
        <w:rFonts w:ascii="Symbol" w:hAnsi="Symbol"/>
      </w:rPr>
    </w:lvl>
    <w:lvl w:ilvl="8" w:tplc="866669F0">
      <w:start w:val="1"/>
      <w:numFmt w:val="bullet"/>
      <w:lvlText w:val=""/>
      <w:lvlJc w:val="left"/>
      <w:pPr>
        <w:ind w:left="720" w:hanging="360"/>
      </w:pPr>
      <w:rPr>
        <w:rFonts w:ascii="Symbol" w:hAnsi="Symbol"/>
      </w:rPr>
    </w:lvl>
  </w:abstractNum>
  <w:abstractNum w:abstractNumId="2" w15:restartNumberingAfterBreak="0">
    <w:nsid w:val="0A283F74"/>
    <w:multiLevelType w:val="hybridMultilevel"/>
    <w:tmpl w:val="625257B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662F79"/>
    <w:multiLevelType w:val="hybridMultilevel"/>
    <w:tmpl w:val="344818F4"/>
    <w:lvl w:ilvl="0" w:tplc="FFFFFFFF">
      <w:start w:val="1"/>
      <w:numFmt w:val="decimal"/>
      <w:lvlText w:val="%1."/>
      <w:lvlJc w:val="left"/>
      <w:pPr>
        <w:ind w:left="720" w:hanging="360"/>
      </w:pPr>
      <w:rPr>
        <w:rFonts w:hint="default"/>
      </w:rPr>
    </w:lvl>
    <w:lvl w:ilvl="1" w:tplc="FFFFFFFF">
      <w:numFmt w:val="bullet"/>
      <w:lvlText w:val="•"/>
      <w:lvlJc w:val="left"/>
      <w:pPr>
        <w:ind w:left="1440" w:hanging="360"/>
      </w:pPr>
      <w:rPr>
        <w:rFonts w:ascii="Calibri" w:eastAsiaTheme="minorEastAsia"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264DFE"/>
    <w:multiLevelType w:val="hybridMultilevel"/>
    <w:tmpl w:val="B3486A3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9CA062B"/>
    <w:multiLevelType w:val="hybridMultilevel"/>
    <w:tmpl w:val="8D28C6DC"/>
    <w:lvl w:ilvl="0" w:tplc="9A5C4BEA">
      <w:start w:val="1"/>
      <w:numFmt w:val="bullet"/>
      <w:lvlText w:val=""/>
      <w:lvlJc w:val="left"/>
      <w:pPr>
        <w:ind w:left="720" w:hanging="360"/>
      </w:pPr>
      <w:rPr>
        <w:rFonts w:ascii="Symbol" w:hAnsi="Symbol"/>
      </w:rPr>
    </w:lvl>
    <w:lvl w:ilvl="1" w:tplc="DD1C2F14">
      <w:start w:val="1"/>
      <w:numFmt w:val="bullet"/>
      <w:lvlText w:val=""/>
      <w:lvlJc w:val="left"/>
      <w:pPr>
        <w:ind w:left="720" w:hanging="360"/>
      </w:pPr>
      <w:rPr>
        <w:rFonts w:ascii="Symbol" w:hAnsi="Symbol"/>
      </w:rPr>
    </w:lvl>
    <w:lvl w:ilvl="2" w:tplc="6CBA7F22">
      <w:start w:val="1"/>
      <w:numFmt w:val="bullet"/>
      <w:lvlText w:val=""/>
      <w:lvlJc w:val="left"/>
      <w:pPr>
        <w:ind w:left="720" w:hanging="360"/>
      </w:pPr>
      <w:rPr>
        <w:rFonts w:ascii="Symbol" w:hAnsi="Symbol"/>
      </w:rPr>
    </w:lvl>
    <w:lvl w:ilvl="3" w:tplc="AF6EA704">
      <w:start w:val="1"/>
      <w:numFmt w:val="bullet"/>
      <w:lvlText w:val=""/>
      <w:lvlJc w:val="left"/>
      <w:pPr>
        <w:ind w:left="720" w:hanging="360"/>
      </w:pPr>
      <w:rPr>
        <w:rFonts w:ascii="Symbol" w:hAnsi="Symbol"/>
      </w:rPr>
    </w:lvl>
    <w:lvl w:ilvl="4" w:tplc="BAE0A714">
      <w:start w:val="1"/>
      <w:numFmt w:val="bullet"/>
      <w:lvlText w:val=""/>
      <w:lvlJc w:val="left"/>
      <w:pPr>
        <w:ind w:left="720" w:hanging="360"/>
      </w:pPr>
      <w:rPr>
        <w:rFonts w:ascii="Symbol" w:hAnsi="Symbol"/>
      </w:rPr>
    </w:lvl>
    <w:lvl w:ilvl="5" w:tplc="4016D70A">
      <w:start w:val="1"/>
      <w:numFmt w:val="bullet"/>
      <w:lvlText w:val=""/>
      <w:lvlJc w:val="left"/>
      <w:pPr>
        <w:ind w:left="720" w:hanging="360"/>
      </w:pPr>
      <w:rPr>
        <w:rFonts w:ascii="Symbol" w:hAnsi="Symbol"/>
      </w:rPr>
    </w:lvl>
    <w:lvl w:ilvl="6" w:tplc="4394E20E">
      <w:start w:val="1"/>
      <w:numFmt w:val="bullet"/>
      <w:lvlText w:val=""/>
      <w:lvlJc w:val="left"/>
      <w:pPr>
        <w:ind w:left="720" w:hanging="360"/>
      </w:pPr>
      <w:rPr>
        <w:rFonts w:ascii="Symbol" w:hAnsi="Symbol"/>
      </w:rPr>
    </w:lvl>
    <w:lvl w:ilvl="7" w:tplc="E3F4C4A6">
      <w:start w:val="1"/>
      <w:numFmt w:val="bullet"/>
      <w:lvlText w:val=""/>
      <w:lvlJc w:val="left"/>
      <w:pPr>
        <w:ind w:left="720" w:hanging="360"/>
      </w:pPr>
      <w:rPr>
        <w:rFonts w:ascii="Symbol" w:hAnsi="Symbol"/>
      </w:rPr>
    </w:lvl>
    <w:lvl w:ilvl="8" w:tplc="B6D0011C">
      <w:start w:val="1"/>
      <w:numFmt w:val="bullet"/>
      <w:lvlText w:val=""/>
      <w:lvlJc w:val="left"/>
      <w:pPr>
        <w:ind w:left="720" w:hanging="360"/>
      </w:pPr>
      <w:rPr>
        <w:rFonts w:ascii="Symbol" w:hAnsi="Symbol"/>
      </w:rPr>
    </w:lvl>
  </w:abstractNum>
  <w:abstractNum w:abstractNumId="6" w15:restartNumberingAfterBreak="0">
    <w:nsid w:val="1B23561E"/>
    <w:multiLevelType w:val="multilevel"/>
    <w:tmpl w:val="2824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BB7DA7"/>
    <w:multiLevelType w:val="hybridMultilevel"/>
    <w:tmpl w:val="7A1ADDFC"/>
    <w:lvl w:ilvl="0" w:tplc="99A6022E">
      <w:start w:val="1"/>
      <w:numFmt w:val="bullet"/>
      <w:lvlText w:val=""/>
      <w:lvlJc w:val="left"/>
      <w:pPr>
        <w:ind w:left="720" w:hanging="360"/>
      </w:pPr>
      <w:rPr>
        <w:rFonts w:ascii="Symbol" w:hAnsi="Symbol"/>
      </w:rPr>
    </w:lvl>
    <w:lvl w:ilvl="1" w:tplc="030AEEB6">
      <w:start w:val="1"/>
      <w:numFmt w:val="bullet"/>
      <w:lvlText w:val=""/>
      <w:lvlJc w:val="left"/>
      <w:pPr>
        <w:ind w:left="720" w:hanging="360"/>
      </w:pPr>
      <w:rPr>
        <w:rFonts w:ascii="Symbol" w:hAnsi="Symbol"/>
      </w:rPr>
    </w:lvl>
    <w:lvl w:ilvl="2" w:tplc="52D2959E">
      <w:start w:val="1"/>
      <w:numFmt w:val="bullet"/>
      <w:lvlText w:val=""/>
      <w:lvlJc w:val="left"/>
      <w:pPr>
        <w:ind w:left="720" w:hanging="360"/>
      </w:pPr>
      <w:rPr>
        <w:rFonts w:ascii="Symbol" w:hAnsi="Symbol"/>
      </w:rPr>
    </w:lvl>
    <w:lvl w:ilvl="3" w:tplc="5A86218C">
      <w:start w:val="1"/>
      <w:numFmt w:val="bullet"/>
      <w:lvlText w:val=""/>
      <w:lvlJc w:val="left"/>
      <w:pPr>
        <w:ind w:left="720" w:hanging="360"/>
      </w:pPr>
      <w:rPr>
        <w:rFonts w:ascii="Symbol" w:hAnsi="Symbol"/>
      </w:rPr>
    </w:lvl>
    <w:lvl w:ilvl="4" w:tplc="3F52BE0C">
      <w:start w:val="1"/>
      <w:numFmt w:val="bullet"/>
      <w:lvlText w:val=""/>
      <w:lvlJc w:val="left"/>
      <w:pPr>
        <w:ind w:left="720" w:hanging="360"/>
      </w:pPr>
      <w:rPr>
        <w:rFonts w:ascii="Symbol" w:hAnsi="Symbol"/>
      </w:rPr>
    </w:lvl>
    <w:lvl w:ilvl="5" w:tplc="7D7EE5E2">
      <w:start w:val="1"/>
      <w:numFmt w:val="bullet"/>
      <w:lvlText w:val=""/>
      <w:lvlJc w:val="left"/>
      <w:pPr>
        <w:ind w:left="720" w:hanging="360"/>
      </w:pPr>
      <w:rPr>
        <w:rFonts w:ascii="Symbol" w:hAnsi="Symbol"/>
      </w:rPr>
    </w:lvl>
    <w:lvl w:ilvl="6" w:tplc="CFBA9D4E">
      <w:start w:val="1"/>
      <w:numFmt w:val="bullet"/>
      <w:lvlText w:val=""/>
      <w:lvlJc w:val="left"/>
      <w:pPr>
        <w:ind w:left="720" w:hanging="360"/>
      </w:pPr>
      <w:rPr>
        <w:rFonts w:ascii="Symbol" w:hAnsi="Symbol"/>
      </w:rPr>
    </w:lvl>
    <w:lvl w:ilvl="7" w:tplc="2608449E">
      <w:start w:val="1"/>
      <w:numFmt w:val="bullet"/>
      <w:lvlText w:val=""/>
      <w:lvlJc w:val="left"/>
      <w:pPr>
        <w:ind w:left="720" w:hanging="360"/>
      </w:pPr>
      <w:rPr>
        <w:rFonts w:ascii="Symbol" w:hAnsi="Symbol"/>
      </w:rPr>
    </w:lvl>
    <w:lvl w:ilvl="8" w:tplc="F1BE9442">
      <w:start w:val="1"/>
      <w:numFmt w:val="bullet"/>
      <w:lvlText w:val=""/>
      <w:lvlJc w:val="left"/>
      <w:pPr>
        <w:ind w:left="720" w:hanging="360"/>
      </w:pPr>
      <w:rPr>
        <w:rFonts w:ascii="Symbol" w:hAnsi="Symbol"/>
      </w:rPr>
    </w:lvl>
  </w:abstractNum>
  <w:abstractNum w:abstractNumId="8" w15:restartNumberingAfterBreak="0">
    <w:nsid w:val="1DE92AF5"/>
    <w:multiLevelType w:val="hybridMultilevel"/>
    <w:tmpl w:val="715C5A4E"/>
    <w:lvl w:ilvl="0" w:tplc="CCAEA2EE">
      <w:start w:val="1"/>
      <w:numFmt w:val="decimal"/>
      <w:lvlText w:val="%1."/>
      <w:lvlJc w:val="left"/>
      <w:pPr>
        <w:ind w:left="1440" w:hanging="360"/>
      </w:pPr>
    </w:lvl>
    <w:lvl w:ilvl="1" w:tplc="06FAE21C">
      <w:start w:val="1"/>
      <w:numFmt w:val="decimal"/>
      <w:lvlText w:val="%2."/>
      <w:lvlJc w:val="left"/>
      <w:pPr>
        <w:ind w:left="1440" w:hanging="360"/>
      </w:pPr>
    </w:lvl>
    <w:lvl w:ilvl="2" w:tplc="07D4B1AC">
      <w:start w:val="1"/>
      <w:numFmt w:val="decimal"/>
      <w:lvlText w:val="%3."/>
      <w:lvlJc w:val="left"/>
      <w:pPr>
        <w:ind w:left="1440" w:hanging="360"/>
      </w:pPr>
    </w:lvl>
    <w:lvl w:ilvl="3" w:tplc="829C3CA6">
      <w:start w:val="1"/>
      <w:numFmt w:val="decimal"/>
      <w:lvlText w:val="%4."/>
      <w:lvlJc w:val="left"/>
      <w:pPr>
        <w:ind w:left="1440" w:hanging="360"/>
      </w:pPr>
    </w:lvl>
    <w:lvl w:ilvl="4" w:tplc="F73696C0">
      <w:start w:val="1"/>
      <w:numFmt w:val="decimal"/>
      <w:lvlText w:val="%5."/>
      <w:lvlJc w:val="left"/>
      <w:pPr>
        <w:ind w:left="1440" w:hanging="360"/>
      </w:pPr>
    </w:lvl>
    <w:lvl w:ilvl="5" w:tplc="C40C9DF6">
      <w:start w:val="1"/>
      <w:numFmt w:val="decimal"/>
      <w:lvlText w:val="%6."/>
      <w:lvlJc w:val="left"/>
      <w:pPr>
        <w:ind w:left="1440" w:hanging="360"/>
      </w:pPr>
    </w:lvl>
    <w:lvl w:ilvl="6" w:tplc="69B83BBE">
      <w:start w:val="1"/>
      <w:numFmt w:val="decimal"/>
      <w:lvlText w:val="%7."/>
      <w:lvlJc w:val="left"/>
      <w:pPr>
        <w:ind w:left="1440" w:hanging="360"/>
      </w:pPr>
    </w:lvl>
    <w:lvl w:ilvl="7" w:tplc="4242712E">
      <w:start w:val="1"/>
      <w:numFmt w:val="decimal"/>
      <w:lvlText w:val="%8."/>
      <w:lvlJc w:val="left"/>
      <w:pPr>
        <w:ind w:left="1440" w:hanging="360"/>
      </w:pPr>
    </w:lvl>
    <w:lvl w:ilvl="8" w:tplc="646C147C">
      <w:start w:val="1"/>
      <w:numFmt w:val="decimal"/>
      <w:lvlText w:val="%9."/>
      <w:lvlJc w:val="left"/>
      <w:pPr>
        <w:ind w:left="1440" w:hanging="360"/>
      </w:pPr>
    </w:lvl>
  </w:abstractNum>
  <w:abstractNum w:abstractNumId="9" w15:restartNumberingAfterBreak="0">
    <w:nsid w:val="29F26883"/>
    <w:multiLevelType w:val="hybridMultilevel"/>
    <w:tmpl w:val="50FAF39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B5B0C51"/>
    <w:multiLevelType w:val="hybridMultilevel"/>
    <w:tmpl w:val="B1965FC0"/>
    <w:lvl w:ilvl="0" w:tplc="16C85EA0">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 w15:restartNumberingAfterBreak="0">
    <w:nsid w:val="2F267525"/>
    <w:multiLevelType w:val="hybridMultilevel"/>
    <w:tmpl w:val="E0468E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59E24A5"/>
    <w:multiLevelType w:val="hybridMultilevel"/>
    <w:tmpl w:val="344818F4"/>
    <w:lvl w:ilvl="0" w:tplc="0C09000F">
      <w:start w:val="1"/>
      <w:numFmt w:val="decimal"/>
      <w:lvlText w:val="%1."/>
      <w:lvlJc w:val="left"/>
      <w:pPr>
        <w:ind w:left="720" w:hanging="360"/>
      </w:pPr>
      <w:rPr>
        <w:rFonts w:hint="default"/>
      </w:rPr>
    </w:lvl>
    <w:lvl w:ilvl="1" w:tplc="FFFFFFFF">
      <w:numFmt w:val="bullet"/>
      <w:lvlText w:val="•"/>
      <w:lvlJc w:val="left"/>
      <w:pPr>
        <w:ind w:left="1440" w:hanging="360"/>
      </w:pPr>
      <w:rPr>
        <w:rFonts w:ascii="Calibri" w:eastAsiaTheme="minorEastAsia"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FD46109"/>
    <w:multiLevelType w:val="hybridMultilevel"/>
    <w:tmpl w:val="A634890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41C279E8"/>
    <w:multiLevelType w:val="hybridMultilevel"/>
    <w:tmpl w:val="26EA3F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55B6966"/>
    <w:multiLevelType w:val="hybridMultilevel"/>
    <w:tmpl w:val="625257B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6394EE9"/>
    <w:multiLevelType w:val="hybridMultilevel"/>
    <w:tmpl w:val="FEB289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6BF5D93"/>
    <w:multiLevelType w:val="multilevel"/>
    <w:tmpl w:val="4FDC0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513E77"/>
    <w:multiLevelType w:val="multilevel"/>
    <w:tmpl w:val="3A926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849698C"/>
    <w:multiLevelType w:val="hybridMultilevel"/>
    <w:tmpl w:val="C58E82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8EA7E12"/>
    <w:multiLevelType w:val="hybridMultilevel"/>
    <w:tmpl w:val="60807F54"/>
    <w:lvl w:ilvl="0" w:tplc="F122430C">
      <w:start w:val="1"/>
      <w:numFmt w:val="bullet"/>
      <w:pStyle w:val="DotPoints"/>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9811D6F"/>
    <w:multiLevelType w:val="multilevel"/>
    <w:tmpl w:val="A734F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066EB0"/>
    <w:multiLevelType w:val="hybridMultilevel"/>
    <w:tmpl w:val="69E26C4A"/>
    <w:lvl w:ilvl="0" w:tplc="E7CAB8B4">
      <w:start w:val="1"/>
      <w:numFmt w:val="lowerLetter"/>
      <w:pStyle w:val="TableofFigures"/>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DAB716E"/>
    <w:multiLevelType w:val="hybridMultilevel"/>
    <w:tmpl w:val="614899A8"/>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14E7231"/>
    <w:multiLevelType w:val="hybridMultilevel"/>
    <w:tmpl w:val="DD9E7D50"/>
    <w:lvl w:ilvl="0" w:tplc="0C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Calibri" w:eastAsiaTheme="minorEastAsia"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28A4CC2"/>
    <w:multiLevelType w:val="multilevel"/>
    <w:tmpl w:val="D6BC7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2E97EAA"/>
    <w:multiLevelType w:val="hybridMultilevel"/>
    <w:tmpl w:val="9A78555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7" w15:restartNumberingAfterBreak="0">
    <w:nsid w:val="53B80154"/>
    <w:multiLevelType w:val="hybridMultilevel"/>
    <w:tmpl w:val="D5E681F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4DC569D"/>
    <w:multiLevelType w:val="hybridMultilevel"/>
    <w:tmpl w:val="0AA81060"/>
    <w:lvl w:ilvl="0" w:tplc="B36E0DE2">
      <w:start w:val="1"/>
      <w:numFmt w:val="bullet"/>
      <w:lvlText w:val=""/>
      <w:lvlJc w:val="left"/>
      <w:pPr>
        <w:ind w:left="720" w:hanging="360"/>
      </w:pPr>
      <w:rPr>
        <w:rFonts w:ascii="Symbol" w:hAnsi="Symbol"/>
      </w:rPr>
    </w:lvl>
    <w:lvl w:ilvl="1" w:tplc="1792936A">
      <w:start w:val="1"/>
      <w:numFmt w:val="bullet"/>
      <w:lvlText w:val=""/>
      <w:lvlJc w:val="left"/>
      <w:pPr>
        <w:ind w:left="720" w:hanging="360"/>
      </w:pPr>
      <w:rPr>
        <w:rFonts w:ascii="Symbol" w:hAnsi="Symbol"/>
      </w:rPr>
    </w:lvl>
    <w:lvl w:ilvl="2" w:tplc="C1F45562">
      <w:start w:val="1"/>
      <w:numFmt w:val="bullet"/>
      <w:lvlText w:val=""/>
      <w:lvlJc w:val="left"/>
      <w:pPr>
        <w:ind w:left="720" w:hanging="360"/>
      </w:pPr>
      <w:rPr>
        <w:rFonts w:ascii="Symbol" w:hAnsi="Symbol"/>
      </w:rPr>
    </w:lvl>
    <w:lvl w:ilvl="3" w:tplc="E5B4E3DE">
      <w:start w:val="1"/>
      <w:numFmt w:val="bullet"/>
      <w:lvlText w:val=""/>
      <w:lvlJc w:val="left"/>
      <w:pPr>
        <w:ind w:left="720" w:hanging="360"/>
      </w:pPr>
      <w:rPr>
        <w:rFonts w:ascii="Symbol" w:hAnsi="Symbol"/>
      </w:rPr>
    </w:lvl>
    <w:lvl w:ilvl="4" w:tplc="4A96EAFA">
      <w:start w:val="1"/>
      <w:numFmt w:val="bullet"/>
      <w:lvlText w:val=""/>
      <w:lvlJc w:val="left"/>
      <w:pPr>
        <w:ind w:left="720" w:hanging="360"/>
      </w:pPr>
      <w:rPr>
        <w:rFonts w:ascii="Symbol" w:hAnsi="Symbol"/>
      </w:rPr>
    </w:lvl>
    <w:lvl w:ilvl="5" w:tplc="151E863E">
      <w:start w:val="1"/>
      <w:numFmt w:val="bullet"/>
      <w:lvlText w:val=""/>
      <w:lvlJc w:val="left"/>
      <w:pPr>
        <w:ind w:left="720" w:hanging="360"/>
      </w:pPr>
      <w:rPr>
        <w:rFonts w:ascii="Symbol" w:hAnsi="Symbol"/>
      </w:rPr>
    </w:lvl>
    <w:lvl w:ilvl="6" w:tplc="7450A5B8">
      <w:start w:val="1"/>
      <w:numFmt w:val="bullet"/>
      <w:lvlText w:val=""/>
      <w:lvlJc w:val="left"/>
      <w:pPr>
        <w:ind w:left="720" w:hanging="360"/>
      </w:pPr>
      <w:rPr>
        <w:rFonts w:ascii="Symbol" w:hAnsi="Symbol"/>
      </w:rPr>
    </w:lvl>
    <w:lvl w:ilvl="7" w:tplc="341C8468">
      <w:start w:val="1"/>
      <w:numFmt w:val="bullet"/>
      <w:lvlText w:val=""/>
      <w:lvlJc w:val="left"/>
      <w:pPr>
        <w:ind w:left="720" w:hanging="360"/>
      </w:pPr>
      <w:rPr>
        <w:rFonts w:ascii="Symbol" w:hAnsi="Symbol"/>
      </w:rPr>
    </w:lvl>
    <w:lvl w:ilvl="8" w:tplc="266675D6">
      <w:start w:val="1"/>
      <w:numFmt w:val="bullet"/>
      <w:lvlText w:val=""/>
      <w:lvlJc w:val="left"/>
      <w:pPr>
        <w:ind w:left="720" w:hanging="360"/>
      </w:pPr>
      <w:rPr>
        <w:rFonts w:ascii="Symbol" w:hAnsi="Symbol"/>
      </w:rPr>
    </w:lvl>
  </w:abstractNum>
  <w:abstractNum w:abstractNumId="29" w15:restartNumberingAfterBreak="0">
    <w:nsid w:val="572E3862"/>
    <w:multiLevelType w:val="hybridMultilevel"/>
    <w:tmpl w:val="A26809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575A5E2D"/>
    <w:multiLevelType w:val="hybridMultilevel"/>
    <w:tmpl w:val="7B725F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C1D1657"/>
    <w:multiLevelType w:val="hybridMultilevel"/>
    <w:tmpl w:val="82AC76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2FD4245"/>
    <w:multiLevelType w:val="hybridMultilevel"/>
    <w:tmpl w:val="E0468E6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68137C7D"/>
    <w:multiLevelType w:val="hybridMultilevel"/>
    <w:tmpl w:val="245AD3AA"/>
    <w:lvl w:ilvl="0" w:tplc="A1C47E92">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A3E1628"/>
    <w:multiLevelType w:val="hybridMultilevel"/>
    <w:tmpl w:val="7F1E0D54"/>
    <w:lvl w:ilvl="0" w:tplc="8B886036">
      <w:start w:val="1"/>
      <w:numFmt w:val="bullet"/>
      <w:lvlText w:val=""/>
      <w:lvlJc w:val="left"/>
      <w:pPr>
        <w:ind w:left="720" w:hanging="360"/>
      </w:pPr>
      <w:rPr>
        <w:rFonts w:ascii="Symbol" w:hAnsi="Symbol"/>
      </w:rPr>
    </w:lvl>
    <w:lvl w:ilvl="1" w:tplc="5DC6C72E">
      <w:start w:val="1"/>
      <w:numFmt w:val="bullet"/>
      <w:lvlText w:val=""/>
      <w:lvlJc w:val="left"/>
      <w:pPr>
        <w:ind w:left="720" w:hanging="360"/>
      </w:pPr>
      <w:rPr>
        <w:rFonts w:ascii="Symbol" w:hAnsi="Symbol"/>
      </w:rPr>
    </w:lvl>
    <w:lvl w:ilvl="2" w:tplc="CFDCB4BA">
      <w:start w:val="1"/>
      <w:numFmt w:val="bullet"/>
      <w:lvlText w:val=""/>
      <w:lvlJc w:val="left"/>
      <w:pPr>
        <w:ind w:left="720" w:hanging="360"/>
      </w:pPr>
      <w:rPr>
        <w:rFonts w:ascii="Symbol" w:hAnsi="Symbol"/>
      </w:rPr>
    </w:lvl>
    <w:lvl w:ilvl="3" w:tplc="B888D028">
      <w:start w:val="1"/>
      <w:numFmt w:val="bullet"/>
      <w:lvlText w:val=""/>
      <w:lvlJc w:val="left"/>
      <w:pPr>
        <w:ind w:left="720" w:hanging="360"/>
      </w:pPr>
      <w:rPr>
        <w:rFonts w:ascii="Symbol" w:hAnsi="Symbol"/>
      </w:rPr>
    </w:lvl>
    <w:lvl w:ilvl="4" w:tplc="3DDEDB2C">
      <w:start w:val="1"/>
      <w:numFmt w:val="bullet"/>
      <w:lvlText w:val=""/>
      <w:lvlJc w:val="left"/>
      <w:pPr>
        <w:ind w:left="720" w:hanging="360"/>
      </w:pPr>
      <w:rPr>
        <w:rFonts w:ascii="Symbol" w:hAnsi="Symbol"/>
      </w:rPr>
    </w:lvl>
    <w:lvl w:ilvl="5" w:tplc="D96A5F2A">
      <w:start w:val="1"/>
      <w:numFmt w:val="bullet"/>
      <w:lvlText w:val=""/>
      <w:lvlJc w:val="left"/>
      <w:pPr>
        <w:ind w:left="720" w:hanging="360"/>
      </w:pPr>
      <w:rPr>
        <w:rFonts w:ascii="Symbol" w:hAnsi="Symbol"/>
      </w:rPr>
    </w:lvl>
    <w:lvl w:ilvl="6" w:tplc="3006C8CC">
      <w:start w:val="1"/>
      <w:numFmt w:val="bullet"/>
      <w:lvlText w:val=""/>
      <w:lvlJc w:val="left"/>
      <w:pPr>
        <w:ind w:left="720" w:hanging="360"/>
      </w:pPr>
      <w:rPr>
        <w:rFonts w:ascii="Symbol" w:hAnsi="Symbol"/>
      </w:rPr>
    </w:lvl>
    <w:lvl w:ilvl="7" w:tplc="EFD458C2">
      <w:start w:val="1"/>
      <w:numFmt w:val="bullet"/>
      <w:lvlText w:val=""/>
      <w:lvlJc w:val="left"/>
      <w:pPr>
        <w:ind w:left="720" w:hanging="360"/>
      </w:pPr>
      <w:rPr>
        <w:rFonts w:ascii="Symbol" w:hAnsi="Symbol"/>
      </w:rPr>
    </w:lvl>
    <w:lvl w:ilvl="8" w:tplc="95C42DDE">
      <w:start w:val="1"/>
      <w:numFmt w:val="bullet"/>
      <w:lvlText w:val=""/>
      <w:lvlJc w:val="left"/>
      <w:pPr>
        <w:ind w:left="720" w:hanging="360"/>
      </w:pPr>
      <w:rPr>
        <w:rFonts w:ascii="Symbol" w:hAnsi="Symbol"/>
      </w:rPr>
    </w:lvl>
  </w:abstractNum>
  <w:abstractNum w:abstractNumId="35" w15:restartNumberingAfterBreak="0">
    <w:nsid w:val="6AB862F4"/>
    <w:multiLevelType w:val="hybridMultilevel"/>
    <w:tmpl w:val="FDB6DC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3112861"/>
    <w:multiLevelType w:val="multilevel"/>
    <w:tmpl w:val="92B81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FE3221"/>
    <w:multiLevelType w:val="multilevel"/>
    <w:tmpl w:val="B52E4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B22B69"/>
    <w:multiLevelType w:val="hybridMultilevel"/>
    <w:tmpl w:val="344818F4"/>
    <w:lvl w:ilvl="0" w:tplc="FFFFFFFF">
      <w:start w:val="1"/>
      <w:numFmt w:val="decimal"/>
      <w:lvlText w:val="%1."/>
      <w:lvlJc w:val="left"/>
      <w:pPr>
        <w:ind w:left="720" w:hanging="360"/>
      </w:pPr>
      <w:rPr>
        <w:rFonts w:hint="default"/>
      </w:rPr>
    </w:lvl>
    <w:lvl w:ilvl="1" w:tplc="FFFFFFFF">
      <w:numFmt w:val="bullet"/>
      <w:lvlText w:val="•"/>
      <w:lvlJc w:val="left"/>
      <w:pPr>
        <w:ind w:left="1440" w:hanging="360"/>
      </w:pPr>
      <w:rPr>
        <w:rFonts w:ascii="Calibri" w:eastAsiaTheme="minorEastAsia"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8B3347D"/>
    <w:multiLevelType w:val="hybridMultilevel"/>
    <w:tmpl w:val="B8648A90"/>
    <w:lvl w:ilvl="0" w:tplc="3BCEA2D4">
      <w:start w:val="1"/>
      <w:numFmt w:val="bullet"/>
      <w:lvlText w:val=""/>
      <w:lvlJc w:val="left"/>
      <w:pPr>
        <w:ind w:left="720" w:hanging="360"/>
      </w:pPr>
      <w:rPr>
        <w:rFonts w:ascii="Symbol" w:hAnsi="Symbol"/>
      </w:rPr>
    </w:lvl>
    <w:lvl w:ilvl="1" w:tplc="29C6ED3A">
      <w:start w:val="1"/>
      <w:numFmt w:val="bullet"/>
      <w:lvlText w:val=""/>
      <w:lvlJc w:val="left"/>
      <w:pPr>
        <w:ind w:left="720" w:hanging="360"/>
      </w:pPr>
      <w:rPr>
        <w:rFonts w:ascii="Symbol" w:hAnsi="Symbol"/>
      </w:rPr>
    </w:lvl>
    <w:lvl w:ilvl="2" w:tplc="69240BC6">
      <w:start w:val="1"/>
      <w:numFmt w:val="bullet"/>
      <w:lvlText w:val=""/>
      <w:lvlJc w:val="left"/>
      <w:pPr>
        <w:ind w:left="720" w:hanging="360"/>
      </w:pPr>
      <w:rPr>
        <w:rFonts w:ascii="Symbol" w:hAnsi="Symbol"/>
      </w:rPr>
    </w:lvl>
    <w:lvl w:ilvl="3" w:tplc="15EEA37A">
      <w:start w:val="1"/>
      <w:numFmt w:val="bullet"/>
      <w:lvlText w:val=""/>
      <w:lvlJc w:val="left"/>
      <w:pPr>
        <w:ind w:left="720" w:hanging="360"/>
      </w:pPr>
      <w:rPr>
        <w:rFonts w:ascii="Symbol" w:hAnsi="Symbol"/>
      </w:rPr>
    </w:lvl>
    <w:lvl w:ilvl="4" w:tplc="294E151C">
      <w:start w:val="1"/>
      <w:numFmt w:val="bullet"/>
      <w:lvlText w:val=""/>
      <w:lvlJc w:val="left"/>
      <w:pPr>
        <w:ind w:left="720" w:hanging="360"/>
      </w:pPr>
      <w:rPr>
        <w:rFonts w:ascii="Symbol" w:hAnsi="Symbol"/>
      </w:rPr>
    </w:lvl>
    <w:lvl w:ilvl="5" w:tplc="2758E1A8">
      <w:start w:val="1"/>
      <w:numFmt w:val="bullet"/>
      <w:lvlText w:val=""/>
      <w:lvlJc w:val="left"/>
      <w:pPr>
        <w:ind w:left="720" w:hanging="360"/>
      </w:pPr>
      <w:rPr>
        <w:rFonts w:ascii="Symbol" w:hAnsi="Symbol"/>
      </w:rPr>
    </w:lvl>
    <w:lvl w:ilvl="6" w:tplc="85520632">
      <w:start w:val="1"/>
      <w:numFmt w:val="bullet"/>
      <w:lvlText w:val=""/>
      <w:lvlJc w:val="left"/>
      <w:pPr>
        <w:ind w:left="720" w:hanging="360"/>
      </w:pPr>
      <w:rPr>
        <w:rFonts w:ascii="Symbol" w:hAnsi="Symbol"/>
      </w:rPr>
    </w:lvl>
    <w:lvl w:ilvl="7" w:tplc="2AFC8932">
      <w:start w:val="1"/>
      <w:numFmt w:val="bullet"/>
      <w:lvlText w:val=""/>
      <w:lvlJc w:val="left"/>
      <w:pPr>
        <w:ind w:left="720" w:hanging="360"/>
      </w:pPr>
      <w:rPr>
        <w:rFonts w:ascii="Symbol" w:hAnsi="Symbol"/>
      </w:rPr>
    </w:lvl>
    <w:lvl w:ilvl="8" w:tplc="E6E202A8">
      <w:start w:val="1"/>
      <w:numFmt w:val="bullet"/>
      <w:lvlText w:val=""/>
      <w:lvlJc w:val="left"/>
      <w:pPr>
        <w:ind w:left="720" w:hanging="360"/>
      </w:pPr>
      <w:rPr>
        <w:rFonts w:ascii="Symbol" w:hAnsi="Symbol"/>
      </w:rPr>
    </w:lvl>
  </w:abstractNum>
  <w:abstractNum w:abstractNumId="40" w15:restartNumberingAfterBreak="0">
    <w:nsid w:val="7A23655E"/>
    <w:multiLevelType w:val="hybridMultilevel"/>
    <w:tmpl w:val="A4F27400"/>
    <w:lvl w:ilvl="0" w:tplc="0C090001">
      <w:start w:val="1"/>
      <w:numFmt w:val="bullet"/>
      <w:lvlText w:val=""/>
      <w:lvlJc w:val="left"/>
      <w:pPr>
        <w:ind w:left="720" w:hanging="360"/>
      </w:pPr>
      <w:rPr>
        <w:rFonts w:ascii="Symbol" w:hAnsi="Symbol" w:hint="default"/>
      </w:rPr>
    </w:lvl>
    <w:lvl w:ilvl="1" w:tplc="B036835E">
      <w:numFmt w:val="bullet"/>
      <w:lvlText w:val="•"/>
      <w:lvlJc w:val="left"/>
      <w:pPr>
        <w:ind w:left="1440" w:hanging="360"/>
      </w:pPr>
      <w:rPr>
        <w:rFonts w:ascii="Calibri" w:eastAsiaTheme="minorEastAsia" w:hAnsi="Calibri"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C48235A"/>
    <w:multiLevelType w:val="multilevel"/>
    <w:tmpl w:val="6A14F284"/>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68609601">
    <w:abstractNumId w:val="20"/>
  </w:num>
  <w:num w:numId="2" w16cid:durableId="2077966633">
    <w:abstractNumId w:val="4"/>
  </w:num>
  <w:num w:numId="3" w16cid:durableId="383259321">
    <w:abstractNumId w:val="32"/>
  </w:num>
  <w:num w:numId="4" w16cid:durableId="188642482">
    <w:abstractNumId w:val="15"/>
  </w:num>
  <w:num w:numId="5" w16cid:durableId="1959948250">
    <w:abstractNumId w:val="2"/>
  </w:num>
  <w:num w:numId="6" w16cid:durableId="147215857">
    <w:abstractNumId w:val="30"/>
  </w:num>
  <w:num w:numId="7" w16cid:durableId="1061707931">
    <w:abstractNumId w:val="31"/>
  </w:num>
  <w:num w:numId="8" w16cid:durableId="1364134124">
    <w:abstractNumId w:val="40"/>
  </w:num>
  <w:num w:numId="9" w16cid:durableId="702752722">
    <w:abstractNumId w:val="26"/>
  </w:num>
  <w:num w:numId="10" w16cid:durableId="106505953">
    <w:abstractNumId w:val="13"/>
  </w:num>
  <w:num w:numId="11" w16cid:durableId="1121147109">
    <w:abstractNumId w:val="10"/>
  </w:num>
  <w:num w:numId="12" w16cid:durableId="1536383861">
    <w:abstractNumId w:val="11"/>
  </w:num>
  <w:num w:numId="13" w16cid:durableId="381909899">
    <w:abstractNumId w:val="34"/>
  </w:num>
  <w:num w:numId="14" w16cid:durableId="1772578820">
    <w:abstractNumId w:val="22"/>
  </w:num>
  <w:num w:numId="15" w16cid:durableId="437722383">
    <w:abstractNumId w:val="41"/>
  </w:num>
  <w:num w:numId="16" w16cid:durableId="702173731">
    <w:abstractNumId w:val="7"/>
  </w:num>
  <w:num w:numId="17" w16cid:durableId="626087339">
    <w:abstractNumId w:val="37"/>
  </w:num>
  <w:num w:numId="18" w16cid:durableId="1312170118">
    <w:abstractNumId w:val="17"/>
  </w:num>
  <w:num w:numId="19" w16cid:durableId="660087668">
    <w:abstractNumId w:val="19"/>
  </w:num>
  <w:num w:numId="20" w16cid:durableId="950237263">
    <w:abstractNumId w:val="33"/>
  </w:num>
  <w:num w:numId="21" w16cid:durableId="1786579131">
    <w:abstractNumId w:val="23"/>
  </w:num>
  <w:num w:numId="22" w16cid:durableId="418404001">
    <w:abstractNumId w:val="9"/>
  </w:num>
  <w:num w:numId="23" w16cid:durableId="144668732">
    <w:abstractNumId w:val="29"/>
  </w:num>
  <w:num w:numId="24" w16cid:durableId="1276249450">
    <w:abstractNumId w:val="35"/>
  </w:num>
  <w:num w:numId="25" w16cid:durableId="796800603">
    <w:abstractNumId w:val="8"/>
  </w:num>
  <w:num w:numId="26" w16cid:durableId="1967854833">
    <w:abstractNumId w:val="12"/>
  </w:num>
  <w:num w:numId="27" w16cid:durableId="1843623698">
    <w:abstractNumId w:val="3"/>
  </w:num>
  <w:num w:numId="28" w16cid:durableId="359817958">
    <w:abstractNumId w:val="27"/>
  </w:num>
  <w:num w:numId="29" w16cid:durableId="236281520">
    <w:abstractNumId w:val="38"/>
  </w:num>
  <w:num w:numId="30" w16cid:durableId="1039815006">
    <w:abstractNumId w:val="18"/>
  </w:num>
  <w:num w:numId="31" w16cid:durableId="288439881">
    <w:abstractNumId w:val="25"/>
  </w:num>
  <w:num w:numId="32" w16cid:durableId="964433429">
    <w:abstractNumId w:val="16"/>
  </w:num>
  <w:num w:numId="33" w16cid:durableId="181668929">
    <w:abstractNumId w:val="24"/>
  </w:num>
  <w:num w:numId="34" w16cid:durableId="886725863">
    <w:abstractNumId w:val="14"/>
  </w:num>
  <w:num w:numId="35" w16cid:durableId="1841385217">
    <w:abstractNumId w:val="5"/>
  </w:num>
  <w:num w:numId="36" w16cid:durableId="1564295865">
    <w:abstractNumId w:val="1"/>
  </w:num>
  <w:num w:numId="37" w16cid:durableId="381751868">
    <w:abstractNumId w:val="28"/>
  </w:num>
  <w:num w:numId="38" w16cid:durableId="567959384">
    <w:abstractNumId w:val="39"/>
  </w:num>
  <w:num w:numId="39" w16cid:durableId="1606113505">
    <w:abstractNumId w:val="36"/>
  </w:num>
  <w:num w:numId="40" w16cid:durableId="2115123642">
    <w:abstractNumId w:val="0"/>
  </w:num>
  <w:num w:numId="41" w16cid:durableId="1416710245">
    <w:abstractNumId w:val="21"/>
  </w:num>
  <w:num w:numId="42" w16cid:durableId="720445786">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207"/>
    <w:rsid w:val="00000875"/>
    <w:rsid w:val="00001186"/>
    <w:rsid w:val="000019FA"/>
    <w:rsid w:val="00001AC6"/>
    <w:rsid w:val="000023FE"/>
    <w:rsid w:val="00003C8D"/>
    <w:rsid w:val="00004198"/>
    <w:rsid w:val="000049DE"/>
    <w:rsid w:val="00005B09"/>
    <w:rsid w:val="0000676C"/>
    <w:rsid w:val="00006953"/>
    <w:rsid w:val="00010580"/>
    <w:rsid w:val="000105D4"/>
    <w:rsid w:val="00012F10"/>
    <w:rsid w:val="0001561E"/>
    <w:rsid w:val="000157A7"/>
    <w:rsid w:val="0001631A"/>
    <w:rsid w:val="0001672F"/>
    <w:rsid w:val="00017A86"/>
    <w:rsid w:val="000214D4"/>
    <w:rsid w:val="000239D1"/>
    <w:rsid w:val="00025012"/>
    <w:rsid w:val="00025851"/>
    <w:rsid w:val="000270D1"/>
    <w:rsid w:val="00031912"/>
    <w:rsid w:val="00031942"/>
    <w:rsid w:val="00031B7F"/>
    <w:rsid w:val="00032454"/>
    <w:rsid w:val="000324CA"/>
    <w:rsid w:val="00033C58"/>
    <w:rsid w:val="00037C3C"/>
    <w:rsid w:val="00041E38"/>
    <w:rsid w:val="000428AF"/>
    <w:rsid w:val="0004337D"/>
    <w:rsid w:val="00043EA5"/>
    <w:rsid w:val="00044201"/>
    <w:rsid w:val="0004555A"/>
    <w:rsid w:val="00046A08"/>
    <w:rsid w:val="000475E5"/>
    <w:rsid w:val="00047659"/>
    <w:rsid w:val="000500B4"/>
    <w:rsid w:val="0005257D"/>
    <w:rsid w:val="00054426"/>
    <w:rsid w:val="0005503B"/>
    <w:rsid w:val="00055852"/>
    <w:rsid w:val="00055B6A"/>
    <w:rsid w:val="00060117"/>
    <w:rsid w:val="0006111B"/>
    <w:rsid w:val="000615BB"/>
    <w:rsid w:val="00062F5A"/>
    <w:rsid w:val="00065238"/>
    <w:rsid w:val="00067A34"/>
    <w:rsid w:val="00071312"/>
    <w:rsid w:val="00071B73"/>
    <w:rsid w:val="00072220"/>
    <w:rsid w:val="00074194"/>
    <w:rsid w:val="0007484F"/>
    <w:rsid w:val="00074F05"/>
    <w:rsid w:val="00074F9B"/>
    <w:rsid w:val="00075E2D"/>
    <w:rsid w:val="000764E0"/>
    <w:rsid w:val="00076E05"/>
    <w:rsid w:val="00077258"/>
    <w:rsid w:val="000777B1"/>
    <w:rsid w:val="00080039"/>
    <w:rsid w:val="00082D64"/>
    <w:rsid w:val="0008322B"/>
    <w:rsid w:val="0008473F"/>
    <w:rsid w:val="000868E4"/>
    <w:rsid w:val="00087301"/>
    <w:rsid w:val="00091F8D"/>
    <w:rsid w:val="000922D3"/>
    <w:rsid w:val="00092DEE"/>
    <w:rsid w:val="00092FBE"/>
    <w:rsid w:val="00093E00"/>
    <w:rsid w:val="00094C1C"/>
    <w:rsid w:val="000975C1"/>
    <w:rsid w:val="000A14C3"/>
    <w:rsid w:val="000A1C25"/>
    <w:rsid w:val="000A1F94"/>
    <w:rsid w:val="000A6B76"/>
    <w:rsid w:val="000A71D1"/>
    <w:rsid w:val="000A767C"/>
    <w:rsid w:val="000A7B16"/>
    <w:rsid w:val="000A7E5D"/>
    <w:rsid w:val="000B0ED5"/>
    <w:rsid w:val="000B38F7"/>
    <w:rsid w:val="000B4B66"/>
    <w:rsid w:val="000B76B7"/>
    <w:rsid w:val="000C1E2A"/>
    <w:rsid w:val="000C23E7"/>
    <w:rsid w:val="000C44D6"/>
    <w:rsid w:val="000C4790"/>
    <w:rsid w:val="000C5168"/>
    <w:rsid w:val="000C6013"/>
    <w:rsid w:val="000C6562"/>
    <w:rsid w:val="000C7F3E"/>
    <w:rsid w:val="000D0342"/>
    <w:rsid w:val="000D1115"/>
    <w:rsid w:val="000D151B"/>
    <w:rsid w:val="000D4214"/>
    <w:rsid w:val="000D4293"/>
    <w:rsid w:val="000D65E3"/>
    <w:rsid w:val="000D760F"/>
    <w:rsid w:val="000D77C0"/>
    <w:rsid w:val="000E1A37"/>
    <w:rsid w:val="000E25DE"/>
    <w:rsid w:val="000E5729"/>
    <w:rsid w:val="000E5A32"/>
    <w:rsid w:val="000E77CB"/>
    <w:rsid w:val="000F6DBA"/>
    <w:rsid w:val="000F73AD"/>
    <w:rsid w:val="00101068"/>
    <w:rsid w:val="001011E3"/>
    <w:rsid w:val="00101200"/>
    <w:rsid w:val="001015EF"/>
    <w:rsid w:val="0010173F"/>
    <w:rsid w:val="00103E3C"/>
    <w:rsid w:val="00104AEA"/>
    <w:rsid w:val="00105A98"/>
    <w:rsid w:val="00105C3D"/>
    <w:rsid w:val="001061D3"/>
    <w:rsid w:val="0010693E"/>
    <w:rsid w:val="00107326"/>
    <w:rsid w:val="0010768A"/>
    <w:rsid w:val="0010770A"/>
    <w:rsid w:val="00107FBA"/>
    <w:rsid w:val="0011083E"/>
    <w:rsid w:val="00110BFF"/>
    <w:rsid w:val="00111A28"/>
    <w:rsid w:val="001136B5"/>
    <w:rsid w:val="00113D78"/>
    <w:rsid w:val="00116417"/>
    <w:rsid w:val="00116446"/>
    <w:rsid w:val="00117A12"/>
    <w:rsid w:val="001216A4"/>
    <w:rsid w:val="0012430A"/>
    <w:rsid w:val="00124F54"/>
    <w:rsid w:val="00125942"/>
    <w:rsid w:val="00125CBA"/>
    <w:rsid w:val="0012679B"/>
    <w:rsid w:val="00127E3B"/>
    <w:rsid w:val="00130919"/>
    <w:rsid w:val="00130FD5"/>
    <w:rsid w:val="00132D57"/>
    <w:rsid w:val="001331B2"/>
    <w:rsid w:val="001331BF"/>
    <w:rsid w:val="00133F74"/>
    <w:rsid w:val="00135A3B"/>
    <w:rsid w:val="00135DDA"/>
    <w:rsid w:val="0013775D"/>
    <w:rsid w:val="00140747"/>
    <w:rsid w:val="0014197C"/>
    <w:rsid w:val="001427D4"/>
    <w:rsid w:val="0014417D"/>
    <w:rsid w:val="0014458F"/>
    <w:rsid w:val="001446B1"/>
    <w:rsid w:val="00144C12"/>
    <w:rsid w:val="00146656"/>
    <w:rsid w:val="00146924"/>
    <w:rsid w:val="00146D23"/>
    <w:rsid w:val="00147039"/>
    <w:rsid w:val="00150951"/>
    <w:rsid w:val="00150E6D"/>
    <w:rsid w:val="001517B0"/>
    <w:rsid w:val="00152671"/>
    <w:rsid w:val="0015267B"/>
    <w:rsid w:val="0015320C"/>
    <w:rsid w:val="0015563C"/>
    <w:rsid w:val="00155EAD"/>
    <w:rsid w:val="001577CA"/>
    <w:rsid w:val="00157833"/>
    <w:rsid w:val="00160A25"/>
    <w:rsid w:val="00161351"/>
    <w:rsid w:val="00162346"/>
    <w:rsid w:val="00163563"/>
    <w:rsid w:val="00163857"/>
    <w:rsid w:val="00163C9C"/>
    <w:rsid w:val="00163FE4"/>
    <w:rsid w:val="00165E49"/>
    <w:rsid w:val="00165F93"/>
    <w:rsid w:val="00166BF1"/>
    <w:rsid w:val="00166F73"/>
    <w:rsid w:val="00167EF4"/>
    <w:rsid w:val="00177591"/>
    <w:rsid w:val="001778CE"/>
    <w:rsid w:val="001802E1"/>
    <w:rsid w:val="001803EC"/>
    <w:rsid w:val="00180C90"/>
    <w:rsid w:val="00181C1C"/>
    <w:rsid w:val="00181CA3"/>
    <w:rsid w:val="00181D0C"/>
    <w:rsid w:val="00184DAB"/>
    <w:rsid w:val="00185FB0"/>
    <w:rsid w:val="00191027"/>
    <w:rsid w:val="0019113C"/>
    <w:rsid w:val="001921A3"/>
    <w:rsid w:val="00193476"/>
    <w:rsid w:val="0019371D"/>
    <w:rsid w:val="00193EEC"/>
    <w:rsid w:val="001940FA"/>
    <w:rsid w:val="00194F6F"/>
    <w:rsid w:val="00195BB9"/>
    <w:rsid w:val="001971AD"/>
    <w:rsid w:val="001A0878"/>
    <w:rsid w:val="001A0F86"/>
    <w:rsid w:val="001A0F91"/>
    <w:rsid w:val="001A1D42"/>
    <w:rsid w:val="001A479C"/>
    <w:rsid w:val="001A5714"/>
    <w:rsid w:val="001A6084"/>
    <w:rsid w:val="001A608C"/>
    <w:rsid w:val="001A6E29"/>
    <w:rsid w:val="001A7A1D"/>
    <w:rsid w:val="001B04C8"/>
    <w:rsid w:val="001B460C"/>
    <w:rsid w:val="001B5116"/>
    <w:rsid w:val="001B7BA2"/>
    <w:rsid w:val="001C0BB2"/>
    <w:rsid w:val="001C1EEF"/>
    <w:rsid w:val="001C29B4"/>
    <w:rsid w:val="001C310A"/>
    <w:rsid w:val="001C4309"/>
    <w:rsid w:val="001C585F"/>
    <w:rsid w:val="001C5B6D"/>
    <w:rsid w:val="001C662A"/>
    <w:rsid w:val="001C70D4"/>
    <w:rsid w:val="001D07EB"/>
    <w:rsid w:val="001D1699"/>
    <w:rsid w:val="001D21F7"/>
    <w:rsid w:val="001D3AE7"/>
    <w:rsid w:val="001D3C2E"/>
    <w:rsid w:val="001D3E95"/>
    <w:rsid w:val="001D4016"/>
    <w:rsid w:val="001D4D91"/>
    <w:rsid w:val="001D57C0"/>
    <w:rsid w:val="001D5A3A"/>
    <w:rsid w:val="001D67CC"/>
    <w:rsid w:val="001D7EE3"/>
    <w:rsid w:val="001E1248"/>
    <w:rsid w:val="001E142E"/>
    <w:rsid w:val="001E1ACC"/>
    <w:rsid w:val="001E2F05"/>
    <w:rsid w:val="001E32E3"/>
    <w:rsid w:val="001E3E0D"/>
    <w:rsid w:val="001E62B3"/>
    <w:rsid w:val="001F0B39"/>
    <w:rsid w:val="001F1468"/>
    <w:rsid w:val="001F1597"/>
    <w:rsid w:val="001F1AD5"/>
    <w:rsid w:val="001F21B7"/>
    <w:rsid w:val="001F50B9"/>
    <w:rsid w:val="001F5810"/>
    <w:rsid w:val="001F7C4E"/>
    <w:rsid w:val="0020036F"/>
    <w:rsid w:val="0020115D"/>
    <w:rsid w:val="002013D3"/>
    <w:rsid w:val="002018A5"/>
    <w:rsid w:val="00202131"/>
    <w:rsid w:val="00204426"/>
    <w:rsid w:val="00205767"/>
    <w:rsid w:val="002114FD"/>
    <w:rsid w:val="00211E0D"/>
    <w:rsid w:val="002122CD"/>
    <w:rsid w:val="00213E01"/>
    <w:rsid w:val="002149E5"/>
    <w:rsid w:val="00214F8D"/>
    <w:rsid w:val="002155C8"/>
    <w:rsid w:val="0021774E"/>
    <w:rsid w:val="00217B91"/>
    <w:rsid w:val="002212C4"/>
    <w:rsid w:val="00222B7B"/>
    <w:rsid w:val="00225C40"/>
    <w:rsid w:val="00226B25"/>
    <w:rsid w:val="002306D9"/>
    <w:rsid w:val="00230A84"/>
    <w:rsid w:val="00230B85"/>
    <w:rsid w:val="00230BA6"/>
    <w:rsid w:val="002317DF"/>
    <w:rsid w:val="00233413"/>
    <w:rsid w:val="00233A55"/>
    <w:rsid w:val="00233EFE"/>
    <w:rsid w:val="00235A6A"/>
    <w:rsid w:val="002369F2"/>
    <w:rsid w:val="00241571"/>
    <w:rsid w:val="00243041"/>
    <w:rsid w:val="00243822"/>
    <w:rsid w:val="00244439"/>
    <w:rsid w:val="00244FE8"/>
    <w:rsid w:val="0024538D"/>
    <w:rsid w:val="00245FAE"/>
    <w:rsid w:val="0025020A"/>
    <w:rsid w:val="00250603"/>
    <w:rsid w:val="0025157A"/>
    <w:rsid w:val="002515A2"/>
    <w:rsid w:val="0025206F"/>
    <w:rsid w:val="00252BF9"/>
    <w:rsid w:val="002532B7"/>
    <w:rsid w:val="00253DFA"/>
    <w:rsid w:val="002540D3"/>
    <w:rsid w:val="00254B69"/>
    <w:rsid w:val="002608D9"/>
    <w:rsid w:val="002615D2"/>
    <w:rsid w:val="00261B1E"/>
    <w:rsid w:val="0026282A"/>
    <w:rsid w:val="002633AE"/>
    <w:rsid w:val="00263738"/>
    <w:rsid w:val="00263C61"/>
    <w:rsid w:val="0026545E"/>
    <w:rsid w:val="00265D9C"/>
    <w:rsid w:val="00265E04"/>
    <w:rsid w:val="00266B2D"/>
    <w:rsid w:val="00267550"/>
    <w:rsid w:val="002711B6"/>
    <w:rsid w:val="00272DE3"/>
    <w:rsid w:val="00273609"/>
    <w:rsid w:val="0027432A"/>
    <w:rsid w:val="00281E53"/>
    <w:rsid w:val="00283C33"/>
    <w:rsid w:val="00291A42"/>
    <w:rsid w:val="00292F66"/>
    <w:rsid w:val="00294231"/>
    <w:rsid w:val="002945A1"/>
    <w:rsid w:val="00294C93"/>
    <w:rsid w:val="00294FC4"/>
    <w:rsid w:val="00297413"/>
    <w:rsid w:val="002A07B2"/>
    <w:rsid w:val="002A348E"/>
    <w:rsid w:val="002A34E3"/>
    <w:rsid w:val="002A3BCE"/>
    <w:rsid w:val="002A4830"/>
    <w:rsid w:val="002A638D"/>
    <w:rsid w:val="002A6B94"/>
    <w:rsid w:val="002B1D88"/>
    <w:rsid w:val="002B26E9"/>
    <w:rsid w:val="002B32DD"/>
    <w:rsid w:val="002B3FCF"/>
    <w:rsid w:val="002B4384"/>
    <w:rsid w:val="002B4837"/>
    <w:rsid w:val="002B58DC"/>
    <w:rsid w:val="002B5E93"/>
    <w:rsid w:val="002B7A52"/>
    <w:rsid w:val="002C0698"/>
    <w:rsid w:val="002C0793"/>
    <w:rsid w:val="002C12E1"/>
    <w:rsid w:val="002C274D"/>
    <w:rsid w:val="002C4810"/>
    <w:rsid w:val="002C4EBB"/>
    <w:rsid w:val="002C5A03"/>
    <w:rsid w:val="002D209E"/>
    <w:rsid w:val="002D2503"/>
    <w:rsid w:val="002D2F6F"/>
    <w:rsid w:val="002D4D31"/>
    <w:rsid w:val="002D503F"/>
    <w:rsid w:val="002E0A3A"/>
    <w:rsid w:val="002E0DAA"/>
    <w:rsid w:val="002E438B"/>
    <w:rsid w:val="002E5A10"/>
    <w:rsid w:val="002E6364"/>
    <w:rsid w:val="002E70F0"/>
    <w:rsid w:val="002F04E8"/>
    <w:rsid w:val="002F1577"/>
    <w:rsid w:val="002F20E0"/>
    <w:rsid w:val="002F2FD8"/>
    <w:rsid w:val="0030023B"/>
    <w:rsid w:val="00300806"/>
    <w:rsid w:val="003023AF"/>
    <w:rsid w:val="00303436"/>
    <w:rsid w:val="003037BB"/>
    <w:rsid w:val="00303BB3"/>
    <w:rsid w:val="0030615E"/>
    <w:rsid w:val="003104C0"/>
    <w:rsid w:val="00310628"/>
    <w:rsid w:val="0031101F"/>
    <w:rsid w:val="003124F9"/>
    <w:rsid w:val="00313B0C"/>
    <w:rsid w:val="00314E0E"/>
    <w:rsid w:val="00320B14"/>
    <w:rsid w:val="00321526"/>
    <w:rsid w:val="00322FE9"/>
    <w:rsid w:val="00324250"/>
    <w:rsid w:val="00325171"/>
    <w:rsid w:val="0032610E"/>
    <w:rsid w:val="00327AE8"/>
    <w:rsid w:val="003320D2"/>
    <w:rsid w:val="00332B38"/>
    <w:rsid w:val="00333B18"/>
    <w:rsid w:val="00333D26"/>
    <w:rsid w:val="00335E61"/>
    <w:rsid w:val="00337D99"/>
    <w:rsid w:val="003406AF"/>
    <w:rsid w:val="00340FEF"/>
    <w:rsid w:val="0034297D"/>
    <w:rsid w:val="00342E43"/>
    <w:rsid w:val="00343A43"/>
    <w:rsid w:val="00346686"/>
    <w:rsid w:val="003469E0"/>
    <w:rsid w:val="00346D71"/>
    <w:rsid w:val="003502B1"/>
    <w:rsid w:val="003515FE"/>
    <w:rsid w:val="003527A3"/>
    <w:rsid w:val="00353BFE"/>
    <w:rsid w:val="0035437F"/>
    <w:rsid w:val="00355C5A"/>
    <w:rsid w:val="00355D91"/>
    <w:rsid w:val="00355E77"/>
    <w:rsid w:val="00356217"/>
    <w:rsid w:val="00357A10"/>
    <w:rsid w:val="00360BCC"/>
    <w:rsid w:val="003643C2"/>
    <w:rsid w:val="00365786"/>
    <w:rsid w:val="00366099"/>
    <w:rsid w:val="003662D6"/>
    <w:rsid w:val="00366A74"/>
    <w:rsid w:val="003670C7"/>
    <w:rsid w:val="0036716C"/>
    <w:rsid w:val="003673F1"/>
    <w:rsid w:val="00367B5B"/>
    <w:rsid w:val="0037091D"/>
    <w:rsid w:val="00371495"/>
    <w:rsid w:val="00372127"/>
    <w:rsid w:val="00372A34"/>
    <w:rsid w:val="00373866"/>
    <w:rsid w:val="00374078"/>
    <w:rsid w:val="0037502C"/>
    <w:rsid w:val="003825AB"/>
    <w:rsid w:val="00382919"/>
    <w:rsid w:val="00383443"/>
    <w:rsid w:val="00383DD3"/>
    <w:rsid w:val="00384650"/>
    <w:rsid w:val="00385645"/>
    <w:rsid w:val="0038700D"/>
    <w:rsid w:val="00387199"/>
    <w:rsid w:val="003913E5"/>
    <w:rsid w:val="00391A7D"/>
    <w:rsid w:val="00392BEF"/>
    <w:rsid w:val="00392E82"/>
    <w:rsid w:val="00393933"/>
    <w:rsid w:val="003939E7"/>
    <w:rsid w:val="00393BA4"/>
    <w:rsid w:val="00393CEB"/>
    <w:rsid w:val="003A159B"/>
    <w:rsid w:val="003A1826"/>
    <w:rsid w:val="003A23ED"/>
    <w:rsid w:val="003A24D5"/>
    <w:rsid w:val="003A2B59"/>
    <w:rsid w:val="003A31EC"/>
    <w:rsid w:val="003A3CFF"/>
    <w:rsid w:val="003A41C7"/>
    <w:rsid w:val="003A44EE"/>
    <w:rsid w:val="003A5ACE"/>
    <w:rsid w:val="003A736A"/>
    <w:rsid w:val="003A7388"/>
    <w:rsid w:val="003A7543"/>
    <w:rsid w:val="003B0C7E"/>
    <w:rsid w:val="003B2227"/>
    <w:rsid w:val="003B29AC"/>
    <w:rsid w:val="003B2A06"/>
    <w:rsid w:val="003B40B6"/>
    <w:rsid w:val="003B78E3"/>
    <w:rsid w:val="003C0511"/>
    <w:rsid w:val="003C1110"/>
    <w:rsid w:val="003C1842"/>
    <w:rsid w:val="003C27FA"/>
    <w:rsid w:val="003C4665"/>
    <w:rsid w:val="003C4A00"/>
    <w:rsid w:val="003C53E8"/>
    <w:rsid w:val="003C561F"/>
    <w:rsid w:val="003C5682"/>
    <w:rsid w:val="003D0396"/>
    <w:rsid w:val="003D14F7"/>
    <w:rsid w:val="003D1C92"/>
    <w:rsid w:val="003D2706"/>
    <w:rsid w:val="003D2748"/>
    <w:rsid w:val="003D2D7B"/>
    <w:rsid w:val="003D336D"/>
    <w:rsid w:val="003D3887"/>
    <w:rsid w:val="003D5998"/>
    <w:rsid w:val="003D7FEF"/>
    <w:rsid w:val="003E0644"/>
    <w:rsid w:val="003E07A7"/>
    <w:rsid w:val="003E0E53"/>
    <w:rsid w:val="003E249B"/>
    <w:rsid w:val="003E3066"/>
    <w:rsid w:val="003E3B60"/>
    <w:rsid w:val="003E4D9D"/>
    <w:rsid w:val="003E62D1"/>
    <w:rsid w:val="003E74E4"/>
    <w:rsid w:val="003F06C6"/>
    <w:rsid w:val="003F0771"/>
    <w:rsid w:val="003F280E"/>
    <w:rsid w:val="003F2AB2"/>
    <w:rsid w:val="003F3F02"/>
    <w:rsid w:val="003F5D6A"/>
    <w:rsid w:val="003F5DB0"/>
    <w:rsid w:val="003F6388"/>
    <w:rsid w:val="0040404F"/>
    <w:rsid w:val="0040432F"/>
    <w:rsid w:val="004049F0"/>
    <w:rsid w:val="00404DED"/>
    <w:rsid w:val="00405331"/>
    <w:rsid w:val="00405D38"/>
    <w:rsid w:val="00406669"/>
    <w:rsid w:val="00407608"/>
    <w:rsid w:val="004076AC"/>
    <w:rsid w:val="00407DE1"/>
    <w:rsid w:val="00410733"/>
    <w:rsid w:val="0041086D"/>
    <w:rsid w:val="004116DD"/>
    <w:rsid w:val="004118B5"/>
    <w:rsid w:val="00412AFC"/>
    <w:rsid w:val="0041348A"/>
    <w:rsid w:val="00414403"/>
    <w:rsid w:val="00414733"/>
    <w:rsid w:val="00414C23"/>
    <w:rsid w:val="00417223"/>
    <w:rsid w:val="00420431"/>
    <w:rsid w:val="00421C81"/>
    <w:rsid w:val="00423900"/>
    <w:rsid w:val="004247D3"/>
    <w:rsid w:val="0042646D"/>
    <w:rsid w:val="004266CD"/>
    <w:rsid w:val="00427C54"/>
    <w:rsid w:val="00430127"/>
    <w:rsid w:val="004315B5"/>
    <w:rsid w:val="0043185D"/>
    <w:rsid w:val="0043316F"/>
    <w:rsid w:val="004337D0"/>
    <w:rsid w:val="00434E0A"/>
    <w:rsid w:val="00435AA2"/>
    <w:rsid w:val="00435CFF"/>
    <w:rsid w:val="00436AB7"/>
    <w:rsid w:val="00437EB9"/>
    <w:rsid w:val="00441999"/>
    <w:rsid w:val="00444593"/>
    <w:rsid w:val="00446389"/>
    <w:rsid w:val="00450645"/>
    <w:rsid w:val="0045237C"/>
    <w:rsid w:val="00452E47"/>
    <w:rsid w:val="00453C8D"/>
    <w:rsid w:val="00453DF9"/>
    <w:rsid w:val="004568B8"/>
    <w:rsid w:val="0045725E"/>
    <w:rsid w:val="004611F4"/>
    <w:rsid w:val="0046159F"/>
    <w:rsid w:val="00462067"/>
    <w:rsid w:val="00462C5A"/>
    <w:rsid w:val="00463AA9"/>
    <w:rsid w:val="004641A3"/>
    <w:rsid w:val="00464314"/>
    <w:rsid w:val="0046471D"/>
    <w:rsid w:val="00464FBB"/>
    <w:rsid w:val="00466E53"/>
    <w:rsid w:val="004671E1"/>
    <w:rsid w:val="00471990"/>
    <w:rsid w:val="00471B5F"/>
    <w:rsid w:val="004722DB"/>
    <w:rsid w:val="004742A4"/>
    <w:rsid w:val="00475508"/>
    <w:rsid w:val="00476207"/>
    <w:rsid w:val="004765C3"/>
    <w:rsid w:val="0047745A"/>
    <w:rsid w:val="00477813"/>
    <w:rsid w:val="00477EFC"/>
    <w:rsid w:val="00480A07"/>
    <w:rsid w:val="004810EA"/>
    <w:rsid w:val="00481EBB"/>
    <w:rsid w:val="00482528"/>
    <w:rsid w:val="004830CA"/>
    <w:rsid w:val="00485B1F"/>
    <w:rsid w:val="00487757"/>
    <w:rsid w:val="00490DD2"/>
    <w:rsid w:val="004928AC"/>
    <w:rsid w:val="0049481F"/>
    <w:rsid w:val="00495081"/>
    <w:rsid w:val="00495E14"/>
    <w:rsid w:val="004967E8"/>
    <w:rsid w:val="004A0446"/>
    <w:rsid w:val="004A085B"/>
    <w:rsid w:val="004A0FBD"/>
    <w:rsid w:val="004A2258"/>
    <w:rsid w:val="004A4BA5"/>
    <w:rsid w:val="004A58D3"/>
    <w:rsid w:val="004A679F"/>
    <w:rsid w:val="004A6B1A"/>
    <w:rsid w:val="004A756A"/>
    <w:rsid w:val="004A7E48"/>
    <w:rsid w:val="004B0D93"/>
    <w:rsid w:val="004B1660"/>
    <w:rsid w:val="004B1729"/>
    <w:rsid w:val="004B3634"/>
    <w:rsid w:val="004B600C"/>
    <w:rsid w:val="004B638D"/>
    <w:rsid w:val="004B6845"/>
    <w:rsid w:val="004B7AEF"/>
    <w:rsid w:val="004C05B8"/>
    <w:rsid w:val="004C0D7C"/>
    <w:rsid w:val="004C1560"/>
    <w:rsid w:val="004C1E2A"/>
    <w:rsid w:val="004C29A3"/>
    <w:rsid w:val="004C30D7"/>
    <w:rsid w:val="004C3B40"/>
    <w:rsid w:val="004C4481"/>
    <w:rsid w:val="004C6F74"/>
    <w:rsid w:val="004D0C27"/>
    <w:rsid w:val="004D0F62"/>
    <w:rsid w:val="004D3A1D"/>
    <w:rsid w:val="004D4842"/>
    <w:rsid w:val="004D485D"/>
    <w:rsid w:val="004D554E"/>
    <w:rsid w:val="004D56A1"/>
    <w:rsid w:val="004D5AF1"/>
    <w:rsid w:val="004D78FF"/>
    <w:rsid w:val="004E00ED"/>
    <w:rsid w:val="004E0435"/>
    <w:rsid w:val="004E0B86"/>
    <w:rsid w:val="004F038C"/>
    <w:rsid w:val="004F0FB2"/>
    <w:rsid w:val="004F271B"/>
    <w:rsid w:val="004F3DA9"/>
    <w:rsid w:val="004F4D69"/>
    <w:rsid w:val="004F63BF"/>
    <w:rsid w:val="004F7144"/>
    <w:rsid w:val="005005B9"/>
    <w:rsid w:val="005007A7"/>
    <w:rsid w:val="00502074"/>
    <w:rsid w:val="00502271"/>
    <w:rsid w:val="00503BE5"/>
    <w:rsid w:val="005044EE"/>
    <w:rsid w:val="005049CB"/>
    <w:rsid w:val="00506632"/>
    <w:rsid w:val="00507ABE"/>
    <w:rsid w:val="00510001"/>
    <w:rsid w:val="005113F9"/>
    <w:rsid w:val="005115D3"/>
    <w:rsid w:val="0051222A"/>
    <w:rsid w:val="005131A7"/>
    <w:rsid w:val="00513C52"/>
    <w:rsid w:val="00515DEA"/>
    <w:rsid w:val="00515EF7"/>
    <w:rsid w:val="005162CC"/>
    <w:rsid w:val="00517B7A"/>
    <w:rsid w:val="00520A18"/>
    <w:rsid w:val="00521B6D"/>
    <w:rsid w:val="00522285"/>
    <w:rsid w:val="0052275F"/>
    <w:rsid w:val="0052343C"/>
    <w:rsid w:val="00523DC8"/>
    <w:rsid w:val="005246EE"/>
    <w:rsid w:val="00526D1F"/>
    <w:rsid w:val="0052709D"/>
    <w:rsid w:val="00530EC2"/>
    <w:rsid w:val="00531396"/>
    <w:rsid w:val="00532754"/>
    <w:rsid w:val="00533419"/>
    <w:rsid w:val="005337DC"/>
    <w:rsid w:val="0053394C"/>
    <w:rsid w:val="005357DF"/>
    <w:rsid w:val="005371E4"/>
    <w:rsid w:val="005378A6"/>
    <w:rsid w:val="0054002E"/>
    <w:rsid w:val="00540200"/>
    <w:rsid w:val="005402D3"/>
    <w:rsid w:val="00543028"/>
    <w:rsid w:val="0054385E"/>
    <w:rsid w:val="00545746"/>
    <w:rsid w:val="00547BAE"/>
    <w:rsid w:val="00550270"/>
    <w:rsid w:val="005503A6"/>
    <w:rsid w:val="00550753"/>
    <w:rsid w:val="00551BA2"/>
    <w:rsid w:val="00551FFE"/>
    <w:rsid w:val="005520A5"/>
    <w:rsid w:val="005544A1"/>
    <w:rsid w:val="00555CA9"/>
    <w:rsid w:val="0055755D"/>
    <w:rsid w:val="00557605"/>
    <w:rsid w:val="00557AE2"/>
    <w:rsid w:val="00557D0C"/>
    <w:rsid w:val="00557DA7"/>
    <w:rsid w:val="00561258"/>
    <w:rsid w:val="0056233C"/>
    <w:rsid w:val="00562F27"/>
    <w:rsid w:val="00563657"/>
    <w:rsid w:val="005645C0"/>
    <w:rsid w:val="005653CC"/>
    <w:rsid w:val="005664C8"/>
    <w:rsid w:val="00566EA6"/>
    <w:rsid w:val="00567632"/>
    <w:rsid w:val="00567B70"/>
    <w:rsid w:val="00567E51"/>
    <w:rsid w:val="00570C68"/>
    <w:rsid w:val="00571192"/>
    <w:rsid w:val="00573AA0"/>
    <w:rsid w:val="005744EF"/>
    <w:rsid w:val="00574AC7"/>
    <w:rsid w:val="00574C02"/>
    <w:rsid w:val="00574C60"/>
    <w:rsid w:val="00574D12"/>
    <w:rsid w:val="00576490"/>
    <w:rsid w:val="00576D75"/>
    <w:rsid w:val="0057755F"/>
    <w:rsid w:val="0057799D"/>
    <w:rsid w:val="00581FDE"/>
    <w:rsid w:val="0058229B"/>
    <w:rsid w:val="00583FAE"/>
    <w:rsid w:val="00584474"/>
    <w:rsid w:val="00590CA6"/>
    <w:rsid w:val="005927CF"/>
    <w:rsid w:val="00592DDC"/>
    <w:rsid w:val="00593F97"/>
    <w:rsid w:val="005957AC"/>
    <w:rsid w:val="005979CA"/>
    <w:rsid w:val="005A110A"/>
    <w:rsid w:val="005A4DA4"/>
    <w:rsid w:val="005A5441"/>
    <w:rsid w:val="005A5CC8"/>
    <w:rsid w:val="005A6396"/>
    <w:rsid w:val="005B27CE"/>
    <w:rsid w:val="005B27E8"/>
    <w:rsid w:val="005B28D5"/>
    <w:rsid w:val="005B3393"/>
    <w:rsid w:val="005B34C1"/>
    <w:rsid w:val="005B3C35"/>
    <w:rsid w:val="005B3C63"/>
    <w:rsid w:val="005B5059"/>
    <w:rsid w:val="005B5BE3"/>
    <w:rsid w:val="005B73D2"/>
    <w:rsid w:val="005B7908"/>
    <w:rsid w:val="005B7BAB"/>
    <w:rsid w:val="005C0A64"/>
    <w:rsid w:val="005C15F4"/>
    <w:rsid w:val="005C1D37"/>
    <w:rsid w:val="005C2E5E"/>
    <w:rsid w:val="005C4625"/>
    <w:rsid w:val="005C5ADC"/>
    <w:rsid w:val="005C694D"/>
    <w:rsid w:val="005C723A"/>
    <w:rsid w:val="005D19F2"/>
    <w:rsid w:val="005D27A0"/>
    <w:rsid w:val="005D46F7"/>
    <w:rsid w:val="005D5F62"/>
    <w:rsid w:val="005D7828"/>
    <w:rsid w:val="005E0765"/>
    <w:rsid w:val="005E1952"/>
    <w:rsid w:val="005E1CEA"/>
    <w:rsid w:val="005E219B"/>
    <w:rsid w:val="005E2F61"/>
    <w:rsid w:val="005E3651"/>
    <w:rsid w:val="005E3E05"/>
    <w:rsid w:val="005E5D4C"/>
    <w:rsid w:val="005E6350"/>
    <w:rsid w:val="005E73C0"/>
    <w:rsid w:val="005E73F3"/>
    <w:rsid w:val="005E74C9"/>
    <w:rsid w:val="005F0044"/>
    <w:rsid w:val="005F149E"/>
    <w:rsid w:val="005F1869"/>
    <w:rsid w:val="005F56AB"/>
    <w:rsid w:val="005F605A"/>
    <w:rsid w:val="005F6358"/>
    <w:rsid w:val="005F6F89"/>
    <w:rsid w:val="005F703C"/>
    <w:rsid w:val="00601D7E"/>
    <w:rsid w:val="0060417D"/>
    <w:rsid w:val="00606533"/>
    <w:rsid w:val="00606A9D"/>
    <w:rsid w:val="00606E0A"/>
    <w:rsid w:val="00606F07"/>
    <w:rsid w:val="006074DC"/>
    <w:rsid w:val="00611925"/>
    <w:rsid w:val="006123B4"/>
    <w:rsid w:val="0061318D"/>
    <w:rsid w:val="00613EB9"/>
    <w:rsid w:val="006141FD"/>
    <w:rsid w:val="0061595D"/>
    <w:rsid w:val="006172B0"/>
    <w:rsid w:val="00617417"/>
    <w:rsid w:val="006223D3"/>
    <w:rsid w:val="00622BA1"/>
    <w:rsid w:val="00622EB8"/>
    <w:rsid w:val="006230C2"/>
    <w:rsid w:val="00624259"/>
    <w:rsid w:val="0062573E"/>
    <w:rsid w:val="00627390"/>
    <w:rsid w:val="0062763C"/>
    <w:rsid w:val="006306BF"/>
    <w:rsid w:val="00631700"/>
    <w:rsid w:val="00634640"/>
    <w:rsid w:val="0063618D"/>
    <w:rsid w:val="00640BD2"/>
    <w:rsid w:val="00643DD1"/>
    <w:rsid w:val="00644E73"/>
    <w:rsid w:val="00644ECF"/>
    <w:rsid w:val="0064647E"/>
    <w:rsid w:val="00647A7C"/>
    <w:rsid w:val="006512F6"/>
    <w:rsid w:val="006515C5"/>
    <w:rsid w:val="00651EB3"/>
    <w:rsid w:val="0065225E"/>
    <w:rsid w:val="006529D6"/>
    <w:rsid w:val="006547AC"/>
    <w:rsid w:val="00657D12"/>
    <w:rsid w:val="00660866"/>
    <w:rsid w:val="00661A5F"/>
    <w:rsid w:val="006649D3"/>
    <w:rsid w:val="006661B0"/>
    <w:rsid w:val="006662C8"/>
    <w:rsid w:val="00666C4D"/>
    <w:rsid w:val="00667838"/>
    <w:rsid w:val="0067239C"/>
    <w:rsid w:val="00672EF3"/>
    <w:rsid w:val="00674769"/>
    <w:rsid w:val="00674966"/>
    <w:rsid w:val="00675023"/>
    <w:rsid w:val="00676541"/>
    <w:rsid w:val="00676B1E"/>
    <w:rsid w:val="006818FB"/>
    <w:rsid w:val="0068253D"/>
    <w:rsid w:val="0068528D"/>
    <w:rsid w:val="00685896"/>
    <w:rsid w:val="00687372"/>
    <w:rsid w:val="00687EBD"/>
    <w:rsid w:val="00691570"/>
    <w:rsid w:val="00692448"/>
    <w:rsid w:val="0069354C"/>
    <w:rsid w:val="006942D2"/>
    <w:rsid w:val="006942DE"/>
    <w:rsid w:val="006956D3"/>
    <w:rsid w:val="006971EF"/>
    <w:rsid w:val="0069757A"/>
    <w:rsid w:val="00697AA7"/>
    <w:rsid w:val="006A0782"/>
    <w:rsid w:val="006A0924"/>
    <w:rsid w:val="006A20FC"/>
    <w:rsid w:val="006A30F9"/>
    <w:rsid w:val="006A4AB1"/>
    <w:rsid w:val="006A4B77"/>
    <w:rsid w:val="006A4F62"/>
    <w:rsid w:val="006A6F23"/>
    <w:rsid w:val="006A797E"/>
    <w:rsid w:val="006B07BC"/>
    <w:rsid w:val="006B0AE0"/>
    <w:rsid w:val="006B0CF1"/>
    <w:rsid w:val="006B1AB8"/>
    <w:rsid w:val="006B1B26"/>
    <w:rsid w:val="006B2BAA"/>
    <w:rsid w:val="006B3655"/>
    <w:rsid w:val="006B382C"/>
    <w:rsid w:val="006B3F25"/>
    <w:rsid w:val="006B5640"/>
    <w:rsid w:val="006B66C7"/>
    <w:rsid w:val="006B686D"/>
    <w:rsid w:val="006B6E88"/>
    <w:rsid w:val="006B77FC"/>
    <w:rsid w:val="006B7C53"/>
    <w:rsid w:val="006B7D54"/>
    <w:rsid w:val="006C1EC8"/>
    <w:rsid w:val="006C7609"/>
    <w:rsid w:val="006C7F43"/>
    <w:rsid w:val="006D1E37"/>
    <w:rsid w:val="006D476D"/>
    <w:rsid w:val="006D47BF"/>
    <w:rsid w:val="006D5ABC"/>
    <w:rsid w:val="006D5CC1"/>
    <w:rsid w:val="006E0239"/>
    <w:rsid w:val="006E1B72"/>
    <w:rsid w:val="006E3CEF"/>
    <w:rsid w:val="006E3F61"/>
    <w:rsid w:val="006E4CDF"/>
    <w:rsid w:val="006E6C38"/>
    <w:rsid w:val="006F00CB"/>
    <w:rsid w:val="006F0472"/>
    <w:rsid w:val="006F097B"/>
    <w:rsid w:val="006F1313"/>
    <w:rsid w:val="006F554F"/>
    <w:rsid w:val="006F587A"/>
    <w:rsid w:val="006F6793"/>
    <w:rsid w:val="006F7636"/>
    <w:rsid w:val="00700D2D"/>
    <w:rsid w:val="0070119D"/>
    <w:rsid w:val="00701A06"/>
    <w:rsid w:val="007020BB"/>
    <w:rsid w:val="0070233D"/>
    <w:rsid w:val="00703B9A"/>
    <w:rsid w:val="00704ACC"/>
    <w:rsid w:val="007062AF"/>
    <w:rsid w:val="0070650C"/>
    <w:rsid w:val="00711801"/>
    <w:rsid w:val="007131D9"/>
    <w:rsid w:val="00713382"/>
    <w:rsid w:val="0071532D"/>
    <w:rsid w:val="0071589C"/>
    <w:rsid w:val="007166F0"/>
    <w:rsid w:val="00721860"/>
    <w:rsid w:val="00725190"/>
    <w:rsid w:val="007302BF"/>
    <w:rsid w:val="007305D5"/>
    <w:rsid w:val="007306D8"/>
    <w:rsid w:val="00731706"/>
    <w:rsid w:val="00731B09"/>
    <w:rsid w:val="00733855"/>
    <w:rsid w:val="0073440E"/>
    <w:rsid w:val="007345B4"/>
    <w:rsid w:val="0073623A"/>
    <w:rsid w:val="00736982"/>
    <w:rsid w:val="00736F8D"/>
    <w:rsid w:val="007400E4"/>
    <w:rsid w:val="007421DB"/>
    <w:rsid w:val="0074261F"/>
    <w:rsid w:val="00743B9A"/>
    <w:rsid w:val="00745D00"/>
    <w:rsid w:val="007460FE"/>
    <w:rsid w:val="0074773F"/>
    <w:rsid w:val="0074790E"/>
    <w:rsid w:val="00750477"/>
    <w:rsid w:val="00750B37"/>
    <w:rsid w:val="00751E9A"/>
    <w:rsid w:val="007525F1"/>
    <w:rsid w:val="0075411C"/>
    <w:rsid w:val="007561B4"/>
    <w:rsid w:val="007566AE"/>
    <w:rsid w:val="00756F05"/>
    <w:rsid w:val="00760202"/>
    <w:rsid w:val="007604BC"/>
    <w:rsid w:val="0076224C"/>
    <w:rsid w:val="007625EA"/>
    <w:rsid w:val="00763BB6"/>
    <w:rsid w:val="00764A11"/>
    <w:rsid w:val="00765B38"/>
    <w:rsid w:val="0077169D"/>
    <w:rsid w:val="00771938"/>
    <w:rsid w:val="00771D4B"/>
    <w:rsid w:val="007725A3"/>
    <w:rsid w:val="00773316"/>
    <w:rsid w:val="00773738"/>
    <w:rsid w:val="00773E43"/>
    <w:rsid w:val="007745F1"/>
    <w:rsid w:val="007747AA"/>
    <w:rsid w:val="00774EB6"/>
    <w:rsid w:val="00776CD4"/>
    <w:rsid w:val="00777046"/>
    <w:rsid w:val="007774DA"/>
    <w:rsid w:val="007774E8"/>
    <w:rsid w:val="00777B24"/>
    <w:rsid w:val="007820DD"/>
    <w:rsid w:val="00782B4A"/>
    <w:rsid w:val="00783345"/>
    <w:rsid w:val="0078336E"/>
    <w:rsid w:val="00787350"/>
    <w:rsid w:val="0079017B"/>
    <w:rsid w:val="007912C8"/>
    <w:rsid w:val="00792275"/>
    <w:rsid w:val="00794F11"/>
    <w:rsid w:val="00795966"/>
    <w:rsid w:val="00797F5D"/>
    <w:rsid w:val="007A0116"/>
    <w:rsid w:val="007A0676"/>
    <w:rsid w:val="007A0D01"/>
    <w:rsid w:val="007A2C06"/>
    <w:rsid w:val="007A434F"/>
    <w:rsid w:val="007A5671"/>
    <w:rsid w:val="007A5885"/>
    <w:rsid w:val="007A5DB8"/>
    <w:rsid w:val="007A6C68"/>
    <w:rsid w:val="007A7BDB"/>
    <w:rsid w:val="007A7DA1"/>
    <w:rsid w:val="007B0AE2"/>
    <w:rsid w:val="007B22C9"/>
    <w:rsid w:val="007B26B1"/>
    <w:rsid w:val="007B3209"/>
    <w:rsid w:val="007B3D94"/>
    <w:rsid w:val="007B40C8"/>
    <w:rsid w:val="007B65D4"/>
    <w:rsid w:val="007B7C9C"/>
    <w:rsid w:val="007B7CF7"/>
    <w:rsid w:val="007C10E2"/>
    <w:rsid w:val="007C13DA"/>
    <w:rsid w:val="007C196B"/>
    <w:rsid w:val="007C1FC4"/>
    <w:rsid w:val="007C2567"/>
    <w:rsid w:val="007C4D2B"/>
    <w:rsid w:val="007C711D"/>
    <w:rsid w:val="007C7B19"/>
    <w:rsid w:val="007D11D4"/>
    <w:rsid w:val="007D14B0"/>
    <w:rsid w:val="007D5BDB"/>
    <w:rsid w:val="007D70CF"/>
    <w:rsid w:val="007D73A9"/>
    <w:rsid w:val="007D7D6E"/>
    <w:rsid w:val="007E52F4"/>
    <w:rsid w:val="007E6267"/>
    <w:rsid w:val="007E749E"/>
    <w:rsid w:val="007F15F2"/>
    <w:rsid w:val="007F2453"/>
    <w:rsid w:val="007F2A1F"/>
    <w:rsid w:val="007F46F6"/>
    <w:rsid w:val="007F56D3"/>
    <w:rsid w:val="007F675E"/>
    <w:rsid w:val="00802E3F"/>
    <w:rsid w:val="008034BF"/>
    <w:rsid w:val="0080460A"/>
    <w:rsid w:val="008047E6"/>
    <w:rsid w:val="00804829"/>
    <w:rsid w:val="00805ACD"/>
    <w:rsid w:val="00805B28"/>
    <w:rsid w:val="008113BE"/>
    <w:rsid w:val="00812747"/>
    <w:rsid w:val="00812DCF"/>
    <w:rsid w:val="00813394"/>
    <w:rsid w:val="00813742"/>
    <w:rsid w:val="00813870"/>
    <w:rsid w:val="00821895"/>
    <w:rsid w:val="008219C9"/>
    <w:rsid w:val="00821C60"/>
    <w:rsid w:val="008242C5"/>
    <w:rsid w:val="008249F0"/>
    <w:rsid w:val="00825306"/>
    <w:rsid w:val="00825A52"/>
    <w:rsid w:val="008262F6"/>
    <w:rsid w:val="0082685F"/>
    <w:rsid w:val="008305CE"/>
    <w:rsid w:val="0083075B"/>
    <w:rsid w:val="00832E05"/>
    <w:rsid w:val="00837028"/>
    <w:rsid w:val="00837799"/>
    <w:rsid w:val="0084180D"/>
    <w:rsid w:val="0084181C"/>
    <w:rsid w:val="00841AF8"/>
    <w:rsid w:val="00841D2F"/>
    <w:rsid w:val="00842995"/>
    <w:rsid w:val="00842B69"/>
    <w:rsid w:val="008453B7"/>
    <w:rsid w:val="00847E66"/>
    <w:rsid w:val="0085032E"/>
    <w:rsid w:val="00852090"/>
    <w:rsid w:val="008526AC"/>
    <w:rsid w:val="00852A55"/>
    <w:rsid w:val="00852DBD"/>
    <w:rsid w:val="0085359B"/>
    <w:rsid w:val="00853E30"/>
    <w:rsid w:val="0085579E"/>
    <w:rsid w:val="00855C8C"/>
    <w:rsid w:val="0085685C"/>
    <w:rsid w:val="00861A85"/>
    <w:rsid w:val="008625C6"/>
    <w:rsid w:val="008626A4"/>
    <w:rsid w:val="008634D5"/>
    <w:rsid w:val="008639D5"/>
    <w:rsid w:val="00864CDF"/>
    <w:rsid w:val="00864DF0"/>
    <w:rsid w:val="00865C35"/>
    <w:rsid w:val="00866656"/>
    <w:rsid w:val="00867BD2"/>
    <w:rsid w:val="00870FEA"/>
    <w:rsid w:val="0087319F"/>
    <w:rsid w:val="00874DDD"/>
    <w:rsid w:val="00874FF8"/>
    <w:rsid w:val="008751D9"/>
    <w:rsid w:val="008764DA"/>
    <w:rsid w:val="00876929"/>
    <w:rsid w:val="008770F4"/>
    <w:rsid w:val="00880219"/>
    <w:rsid w:val="00881BFB"/>
    <w:rsid w:val="00883BA0"/>
    <w:rsid w:val="00884360"/>
    <w:rsid w:val="0088490A"/>
    <w:rsid w:val="00892012"/>
    <w:rsid w:val="008925FD"/>
    <w:rsid w:val="00892C9B"/>
    <w:rsid w:val="00893C2D"/>
    <w:rsid w:val="00894089"/>
    <w:rsid w:val="008944E2"/>
    <w:rsid w:val="00894EA3"/>
    <w:rsid w:val="00895D91"/>
    <w:rsid w:val="00897B6E"/>
    <w:rsid w:val="00897C10"/>
    <w:rsid w:val="008A01B3"/>
    <w:rsid w:val="008A1AB7"/>
    <w:rsid w:val="008A2352"/>
    <w:rsid w:val="008A26BC"/>
    <w:rsid w:val="008A3718"/>
    <w:rsid w:val="008A459A"/>
    <w:rsid w:val="008B180E"/>
    <w:rsid w:val="008B2AD8"/>
    <w:rsid w:val="008B2D63"/>
    <w:rsid w:val="008B2FDF"/>
    <w:rsid w:val="008B6F13"/>
    <w:rsid w:val="008B75E4"/>
    <w:rsid w:val="008C178A"/>
    <w:rsid w:val="008C3FD5"/>
    <w:rsid w:val="008C4FB4"/>
    <w:rsid w:val="008C515D"/>
    <w:rsid w:val="008C664A"/>
    <w:rsid w:val="008C69A8"/>
    <w:rsid w:val="008C77F1"/>
    <w:rsid w:val="008D0373"/>
    <w:rsid w:val="008D051E"/>
    <w:rsid w:val="008D08CF"/>
    <w:rsid w:val="008D0F09"/>
    <w:rsid w:val="008D2A4C"/>
    <w:rsid w:val="008D30D0"/>
    <w:rsid w:val="008D5EF2"/>
    <w:rsid w:val="008E0526"/>
    <w:rsid w:val="008E2AC6"/>
    <w:rsid w:val="008E42D3"/>
    <w:rsid w:val="008E5D4C"/>
    <w:rsid w:val="008E61F2"/>
    <w:rsid w:val="008E6ADF"/>
    <w:rsid w:val="008E710E"/>
    <w:rsid w:val="008F0394"/>
    <w:rsid w:val="008F1A71"/>
    <w:rsid w:val="008F2110"/>
    <w:rsid w:val="008F34BD"/>
    <w:rsid w:val="008F5B92"/>
    <w:rsid w:val="008F5CE1"/>
    <w:rsid w:val="009010A9"/>
    <w:rsid w:val="00901BD8"/>
    <w:rsid w:val="009033B4"/>
    <w:rsid w:val="0090397C"/>
    <w:rsid w:val="00905356"/>
    <w:rsid w:val="00910560"/>
    <w:rsid w:val="009119F4"/>
    <w:rsid w:val="00911D18"/>
    <w:rsid w:val="00911FB9"/>
    <w:rsid w:val="00912187"/>
    <w:rsid w:val="00912846"/>
    <w:rsid w:val="00912AF2"/>
    <w:rsid w:val="0091421E"/>
    <w:rsid w:val="00917181"/>
    <w:rsid w:val="0092101A"/>
    <w:rsid w:val="009211B8"/>
    <w:rsid w:val="00922ECE"/>
    <w:rsid w:val="00924429"/>
    <w:rsid w:val="009244E5"/>
    <w:rsid w:val="00924A2E"/>
    <w:rsid w:val="00924EEE"/>
    <w:rsid w:val="00926A5B"/>
    <w:rsid w:val="00926FAC"/>
    <w:rsid w:val="0093000C"/>
    <w:rsid w:val="00930BD3"/>
    <w:rsid w:val="00930BEF"/>
    <w:rsid w:val="00934A2B"/>
    <w:rsid w:val="00934E1B"/>
    <w:rsid w:val="00937D39"/>
    <w:rsid w:val="00941BDF"/>
    <w:rsid w:val="00942CBC"/>
    <w:rsid w:val="009430CB"/>
    <w:rsid w:val="00944D28"/>
    <w:rsid w:val="009450C0"/>
    <w:rsid w:val="009457C2"/>
    <w:rsid w:val="00945FF8"/>
    <w:rsid w:val="0094610D"/>
    <w:rsid w:val="009465ED"/>
    <w:rsid w:val="00946E0D"/>
    <w:rsid w:val="0094722B"/>
    <w:rsid w:val="0094760E"/>
    <w:rsid w:val="009523BC"/>
    <w:rsid w:val="00952C80"/>
    <w:rsid w:val="0095393C"/>
    <w:rsid w:val="00953A20"/>
    <w:rsid w:val="00953BDA"/>
    <w:rsid w:val="009550D6"/>
    <w:rsid w:val="009554E1"/>
    <w:rsid w:val="009570BF"/>
    <w:rsid w:val="00957A41"/>
    <w:rsid w:val="00960CBE"/>
    <w:rsid w:val="00961C12"/>
    <w:rsid w:val="0096283D"/>
    <w:rsid w:val="00963110"/>
    <w:rsid w:val="009634A0"/>
    <w:rsid w:val="00963DFB"/>
    <w:rsid w:val="009678BB"/>
    <w:rsid w:val="0097005B"/>
    <w:rsid w:val="009700E5"/>
    <w:rsid w:val="009709CD"/>
    <w:rsid w:val="00970C63"/>
    <w:rsid w:val="0097107F"/>
    <w:rsid w:val="00973146"/>
    <w:rsid w:val="0097702E"/>
    <w:rsid w:val="00984C4B"/>
    <w:rsid w:val="00986C23"/>
    <w:rsid w:val="0098797C"/>
    <w:rsid w:val="0099312A"/>
    <w:rsid w:val="00993304"/>
    <w:rsid w:val="0099373D"/>
    <w:rsid w:val="00994084"/>
    <w:rsid w:val="00994A79"/>
    <w:rsid w:val="009977E2"/>
    <w:rsid w:val="009A085E"/>
    <w:rsid w:val="009A0A5C"/>
    <w:rsid w:val="009A0FA6"/>
    <w:rsid w:val="009A1E5F"/>
    <w:rsid w:val="009A4B99"/>
    <w:rsid w:val="009A5BF4"/>
    <w:rsid w:val="009A64AD"/>
    <w:rsid w:val="009A6617"/>
    <w:rsid w:val="009A6C24"/>
    <w:rsid w:val="009A6CCE"/>
    <w:rsid w:val="009B07CE"/>
    <w:rsid w:val="009B0CD4"/>
    <w:rsid w:val="009B1F48"/>
    <w:rsid w:val="009B2717"/>
    <w:rsid w:val="009B31E7"/>
    <w:rsid w:val="009B4F30"/>
    <w:rsid w:val="009C1080"/>
    <w:rsid w:val="009C1E95"/>
    <w:rsid w:val="009C2737"/>
    <w:rsid w:val="009C28BD"/>
    <w:rsid w:val="009C3536"/>
    <w:rsid w:val="009C3BD0"/>
    <w:rsid w:val="009C47AC"/>
    <w:rsid w:val="009C542E"/>
    <w:rsid w:val="009C5A8B"/>
    <w:rsid w:val="009C5C84"/>
    <w:rsid w:val="009C7AAC"/>
    <w:rsid w:val="009D07F4"/>
    <w:rsid w:val="009D0F26"/>
    <w:rsid w:val="009D10A4"/>
    <w:rsid w:val="009D260B"/>
    <w:rsid w:val="009D3745"/>
    <w:rsid w:val="009E0AF4"/>
    <w:rsid w:val="009E3C80"/>
    <w:rsid w:val="009E3CE0"/>
    <w:rsid w:val="009E4FDF"/>
    <w:rsid w:val="009F1ABE"/>
    <w:rsid w:val="009F23BA"/>
    <w:rsid w:val="009F2F45"/>
    <w:rsid w:val="009F4438"/>
    <w:rsid w:val="009F4AE2"/>
    <w:rsid w:val="009F4DEF"/>
    <w:rsid w:val="009F528F"/>
    <w:rsid w:val="009F563B"/>
    <w:rsid w:val="009F63FC"/>
    <w:rsid w:val="009F6976"/>
    <w:rsid w:val="009F746E"/>
    <w:rsid w:val="009F74E9"/>
    <w:rsid w:val="00A0030B"/>
    <w:rsid w:val="00A01253"/>
    <w:rsid w:val="00A0187B"/>
    <w:rsid w:val="00A03B0F"/>
    <w:rsid w:val="00A03B97"/>
    <w:rsid w:val="00A061C5"/>
    <w:rsid w:val="00A063DF"/>
    <w:rsid w:val="00A065AB"/>
    <w:rsid w:val="00A07097"/>
    <w:rsid w:val="00A07284"/>
    <w:rsid w:val="00A1026B"/>
    <w:rsid w:val="00A10A59"/>
    <w:rsid w:val="00A11D9D"/>
    <w:rsid w:val="00A1225D"/>
    <w:rsid w:val="00A125D2"/>
    <w:rsid w:val="00A12EBA"/>
    <w:rsid w:val="00A13EBB"/>
    <w:rsid w:val="00A13F06"/>
    <w:rsid w:val="00A164E1"/>
    <w:rsid w:val="00A16898"/>
    <w:rsid w:val="00A200E8"/>
    <w:rsid w:val="00A20303"/>
    <w:rsid w:val="00A206E3"/>
    <w:rsid w:val="00A2167B"/>
    <w:rsid w:val="00A21EA0"/>
    <w:rsid w:val="00A21F82"/>
    <w:rsid w:val="00A229EE"/>
    <w:rsid w:val="00A22ADE"/>
    <w:rsid w:val="00A22CE8"/>
    <w:rsid w:val="00A23223"/>
    <w:rsid w:val="00A23363"/>
    <w:rsid w:val="00A235B6"/>
    <w:rsid w:val="00A25760"/>
    <w:rsid w:val="00A26382"/>
    <w:rsid w:val="00A27BA6"/>
    <w:rsid w:val="00A3546B"/>
    <w:rsid w:val="00A3548A"/>
    <w:rsid w:val="00A40B22"/>
    <w:rsid w:val="00A42AF3"/>
    <w:rsid w:val="00A439E8"/>
    <w:rsid w:val="00A44F96"/>
    <w:rsid w:val="00A4619D"/>
    <w:rsid w:val="00A514BD"/>
    <w:rsid w:val="00A514E2"/>
    <w:rsid w:val="00A53D1A"/>
    <w:rsid w:val="00A57C7A"/>
    <w:rsid w:val="00A60455"/>
    <w:rsid w:val="00A649F5"/>
    <w:rsid w:val="00A64D71"/>
    <w:rsid w:val="00A65BD7"/>
    <w:rsid w:val="00A67EF8"/>
    <w:rsid w:val="00A70E2C"/>
    <w:rsid w:val="00A714A9"/>
    <w:rsid w:val="00A71EBE"/>
    <w:rsid w:val="00A73129"/>
    <w:rsid w:val="00A7445D"/>
    <w:rsid w:val="00A750FE"/>
    <w:rsid w:val="00A75301"/>
    <w:rsid w:val="00A75DB3"/>
    <w:rsid w:val="00A766F7"/>
    <w:rsid w:val="00A76D68"/>
    <w:rsid w:val="00A76FA1"/>
    <w:rsid w:val="00A80276"/>
    <w:rsid w:val="00A80496"/>
    <w:rsid w:val="00A809B6"/>
    <w:rsid w:val="00A8240A"/>
    <w:rsid w:val="00A82B7C"/>
    <w:rsid w:val="00A848F2"/>
    <w:rsid w:val="00A866B7"/>
    <w:rsid w:val="00A90652"/>
    <w:rsid w:val="00A90C48"/>
    <w:rsid w:val="00A91E0E"/>
    <w:rsid w:val="00A926C3"/>
    <w:rsid w:val="00A92C98"/>
    <w:rsid w:val="00A93687"/>
    <w:rsid w:val="00A93F51"/>
    <w:rsid w:val="00A9647D"/>
    <w:rsid w:val="00A97739"/>
    <w:rsid w:val="00AA02B8"/>
    <w:rsid w:val="00AA0918"/>
    <w:rsid w:val="00AA2070"/>
    <w:rsid w:val="00AA2351"/>
    <w:rsid w:val="00AA2E79"/>
    <w:rsid w:val="00AA3DE1"/>
    <w:rsid w:val="00AA4E77"/>
    <w:rsid w:val="00AA523B"/>
    <w:rsid w:val="00AA64F2"/>
    <w:rsid w:val="00AB0116"/>
    <w:rsid w:val="00AB1A76"/>
    <w:rsid w:val="00AB1D2A"/>
    <w:rsid w:val="00AB26EA"/>
    <w:rsid w:val="00AB2791"/>
    <w:rsid w:val="00AB5499"/>
    <w:rsid w:val="00AB626F"/>
    <w:rsid w:val="00AB6C9B"/>
    <w:rsid w:val="00AB7763"/>
    <w:rsid w:val="00AC1363"/>
    <w:rsid w:val="00AC1713"/>
    <w:rsid w:val="00AC20DA"/>
    <w:rsid w:val="00AC214A"/>
    <w:rsid w:val="00AC2DE3"/>
    <w:rsid w:val="00AC544C"/>
    <w:rsid w:val="00AC5B6E"/>
    <w:rsid w:val="00AC5D06"/>
    <w:rsid w:val="00AC6248"/>
    <w:rsid w:val="00AC6ED2"/>
    <w:rsid w:val="00AD01D1"/>
    <w:rsid w:val="00AD19AB"/>
    <w:rsid w:val="00AD1C72"/>
    <w:rsid w:val="00AD2277"/>
    <w:rsid w:val="00AD5184"/>
    <w:rsid w:val="00AD6195"/>
    <w:rsid w:val="00AD6CD8"/>
    <w:rsid w:val="00AE0173"/>
    <w:rsid w:val="00AE1CD6"/>
    <w:rsid w:val="00AE1EFD"/>
    <w:rsid w:val="00AE238C"/>
    <w:rsid w:val="00AE4452"/>
    <w:rsid w:val="00AE4CD5"/>
    <w:rsid w:val="00AF0010"/>
    <w:rsid w:val="00AF08D6"/>
    <w:rsid w:val="00AF10F8"/>
    <w:rsid w:val="00AF1708"/>
    <w:rsid w:val="00AF1728"/>
    <w:rsid w:val="00AF19AA"/>
    <w:rsid w:val="00AF3565"/>
    <w:rsid w:val="00AF4C2A"/>
    <w:rsid w:val="00AF5ABF"/>
    <w:rsid w:val="00AF5CF3"/>
    <w:rsid w:val="00AF62C6"/>
    <w:rsid w:val="00AF789B"/>
    <w:rsid w:val="00B00471"/>
    <w:rsid w:val="00B00F59"/>
    <w:rsid w:val="00B01496"/>
    <w:rsid w:val="00B014F6"/>
    <w:rsid w:val="00B03F4C"/>
    <w:rsid w:val="00B049B3"/>
    <w:rsid w:val="00B0516A"/>
    <w:rsid w:val="00B06568"/>
    <w:rsid w:val="00B0693A"/>
    <w:rsid w:val="00B076E0"/>
    <w:rsid w:val="00B10546"/>
    <w:rsid w:val="00B1365C"/>
    <w:rsid w:val="00B1517E"/>
    <w:rsid w:val="00B15843"/>
    <w:rsid w:val="00B165D4"/>
    <w:rsid w:val="00B1666C"/>
    <w:rsid w:val="00B17791"/>
    <w:rsid w:val="00B20721"/>
    <w:rsid w:val="00B21186"/>
    <w:rsid w:val="00B21624"/>
    <w:rsid w:val="00B21A8A"/>
    <w:rsid w:val="00B21BF1"/>
    <w:rsid w:val="00B22A17"/>
    <w:rsid w:val="00B27A69"/>
    <w:rsid w:val="00B312B5"/>
    <w:rsid w:val="00B31951"/>
    <w:rsid w:val="00B31AF0"/>
    <w:rsid w:val="00B339AA"/>
    <w:rsid w:val="00B34829"/>
    <w:rsid w:val="00B35479"/>
    <w:rsid w:val="00B35C19"/>
    <w:rsid w:val="00B372A4"/>
    <w:rsid w:val="00B406A9"/>
    <w:rsid w:val="00B411CE"/>
    <w:rsid w:val="00B41207"/>
    <w:rsid w:val="00B41B9B"/>
    <w:rsid w:val="00B425A1"/>
    <w:rsid w:val="00B43C07"/>
    <w:rsid w:val="00B44C85"/>
    <w:rsid w:val="00B50187"/>
    <w:rsid w:val="00B52A25"/>
    <w:rsid w:val="00B53F0D"/>
    <w:rsid w:val="00B554DF"/>
    <w:rsid w:val="00B603A5"/>
    <w:rsid w:val="00B605FE"/>
    <w:rsid w:val="00B6210A"/>
    <w:rsid w:val="00B62126"/>
    <w:rsid w:val="00B625CB"/>
    <w:rsid w:val="00B630C3"/>
    <w:rsid w:val="00B63D64"/>
    <w:rsid w:val="00B64F89"/>
    <w:rsid w:val="00B66092"/>
    <w:rsid w:val="00B67414"/>
    <w:rsid w:val="00B67487"/>
    <w:rsid w:val="00B70096"/>
    <w:rsid w:val="00B70563"/>
    <w:rsid w:val="00B70821"/>
    <w:rsid w:val="00B70D92"/>
    <w:rsid w:val="00B70E31"/>
    <w:rsid w:val="00B717BD"/>
    <w:rsid w:val="00B7245A"/>
    <w:rsid w:val="00B738F7"/>
    <w:rsid w:val="00B74D27"/>
    <w:rsid w:val="00B75BB2"/>
    <w:rsid w:val="00B75F8F"/>
    <w:rsid w:val="00B7633E"/>
    <w:rsid w:val="00B7683D"/>
    <w:rsid w:val="00B81770"/>
    <w:rsid w:val="00B821BC"/>
    <w:rsid w:val="00B83F25"/>
    <w:rsid w:val="00B84339"/>
    <w:rsid w:val="00B845D2"/>
    <w:rsid w:val="00B85EC2"/>
    <w:rsid w:val="00B86495"/>
    <w:rsid w:val="00B86510"/>
    <w:rsid w:val="00B922E6"/>
    <w:rsid w:val="00B925CA"/>
    <w:rsid w:val="00B92EBB"/>
    <w:rsid w:val="00B92EE8"/>
    <w:rsid w:val="00B932F4"/>
    <w:rsid w:val="00B94862"/>
    <w:rsid w:val="00B959C6"/>
    <w:rsid w:val="00B95A04"/>
    <w:rsid w:val="00B960B7"/>
    <w:rsid w:val="00B96173"/>
    <w:rsid w:val="00BA06C8"/>
    <w:rsid w:val="00BA506C"/>
    <w:rsid w:val="00BA6BB1"/>
    <w:rsid w:val="00BA7D3C"/>
    <w:rsid w:val="00BB0AD3"/>
    <w:rsid w:val="00BB1C0F"/>
    <w:rsid w:val="00BB3D8F"/>
    <w:rsid w:val="00BB46D3"/>
    <w:rsid w:val="00BB5558"/>
    <w:rsid w:val="00BB694A"/>
    <w:rsid w:val="00BC1EDD"/>
    <w:rsid w:val="00BC2541"/>
    <w:rsid w:val="00BC2DF2"/>
    <w:rsid w:val="00BC31E8"/>
    <w:rsid w:val="00BC39CA"/>
    <w:rsid w:val="00BC4CEB"/>
    <w:rsid w:val="00BC4F49"/>
    <w:rsid w:val="00BC6C04"/>
    <w:rsid w:val="00BC74E6"/>
    <w:rsid w:val="00BC76AB"/>
    <w:rsid w:val="00BC7736"/>
    <w:rsid w:val="00BC78AD"/>
    <w:rsid w:val="00BC7BAB"/>
    <w:rsid w:val="00BD095E"/>
    <w:rsid w:val="00BD18BE"/>
    <w:rsid w:val="00BD2932"/>
    <w:rsid w:val="00BD3E75"/>
    <w:rsid w:val="00BD4F12"/>
    <w:rsid w:val="00BD75F7"/>
    <w:rsid w:val="00BD7EAD"/>
    <w:rsid w:val="00BE06E0"/>
    <w:rsid w:val="00BE0888"/>
    <w:rsid w:val="00BE1881"/>
    <w:rsid w:val="00BE1D2C"/>
    <w:rsid w:val="00BE39B2"/>
    <w:rsid w:val="00BE4DA7"/>
    <w:rsid w:val="00BE6C4B"/>
    <w:rsid w:val="00BF242D"/>
    <w:rsid w:val="00BF25A4"/>
    <w:rsid w:val="00BF349D"/>
    <w:rsid w:val="00BF3B0F"/>
    <w:rsid w:val="00BF4365"/>
    <w:rsid w:val="00BF6CFB"/>
    <w:rsid w:val="00C00696"/>
    <w:rsid w:val="00C011C7"/>
    <w:rsid w:val="00C01C85"/>
    <w:rsid w:val="00C0313E"/>
    <w:rsid w:val="00C03D55"/>
    <w:rsid w:val="00C03DCD"/>
    <w:rsid w:val="00C07BCD"/>
    <w:rsid w:val="00C103B7"/>
    <w:rsid w:val="00C10657"/>
    <w:rsid w:val="00C10EB7"/>
    <w:rsid w:val="00C113C2"/>
    <w:rsid w:val="00C11767"/>
    <w:rsid w:val="00C11B25"/>
    <w:rsid w:val="00C11E20"/>
    <w:rsid w:val="00C136FE"/>
    <w:rsid w:val="00C14A68"/>
    <w:rsid w:val="00C14A6C"/>
    <w:rsid w:val="00C14CF5"/>
    <w:rsid w:val="00C15D9F"/>
    <w:rsid w:val="00C16917"/>
    <w:rsid w:val="00C17D86"/>
    <w:rsid w:val="00C17FCA"/>
    <w:rsid w:val="00C20706"/>
    <w:rsid w:val="00C22199"/>
    <w:rsid w:val="00C23FF7"/>
    <w:rsid w:val="00C24FCD"/>
    <w:rsid w:val="00C2538D"/>
    <w:rsid w:val="00C27A2B"/>
    <w:rsid w:val="00C27EDE"/>
    <w:rsid w:val="00C304D6"/>
    <w:rsid w:val="00C309F0"/>
    <w:rsid w:val="00C31D38"/>
    <w:rsid w:val="00C329E0"/>
    <w:rsid w:val="00C3438C"/>
    <w:rsid w:val="00C3559C"/>
    <w:rsid w:val="00C421EE"/>
    <w:rsid w:val="00C42232"/>
    <w:rsid w:val="00C428B1"/>
    <w:rsid w:val="00C4786A"/>
    <w:rsid w:val="00C4798C"/>
    <w:rsid w:val="00C534F5"/>
    <w:rsid w:val="00C54368"/>
    <w:rsid w:val="00C54431"/>
    <w:rsid w:val="00C61708"/>
    <w:rsid w:val="00C61C28"/>
    <w:rsid w:val="00C64632"/>
    <w:rsid w:val="00C64876"/>
    <w:rsid w:val="00C648DB"/>
    <w:rsid w:val="00C655BB"/>
    <w:rsid w:val="00C666E4"/>
    <w:rsid w:val="00C6727B"/>
    <w:rsid w:val="00C67347"/>
    <w:rsid w:val="00C7079B"/>
    <w:rsid w:val="00C70823"/>
    <w:rsid w:val="00C70BE2"/>
    <w:rsid w:val="00C727B6"/>
    <w:rsid w:val="00C72BE6"/>
    <w:rsid w:val="00C735A2"/>
    <w:rsid w:val="00C76883"/>
    <w:rsid w:val="00C77272"/>
    <w:rsid w:val="00C8084C"/>
    <w:rsid w:val="00C8470B"/>
    <w:rsid w:val="00C849D0"/>
    <w:rsid w:val="00C8650A"/>
    <w:rsid w:val="00C87596"/>
    <w:rsid w:val="00C90445"/>
    <w:rsid w:val="00C90D55"/>
    <w:rsid w:val="00C91D0F"/>
    <w:rsid w:val="00C91F10"/>
    <w:rsid w:val="00C93B67"/>
    <w:rsid w:val="00C946E1"/>
    <w:rsid w:val="00C96709"/>
    <w:rsid w:val="00C97EEC"/>
    <w:rsid w:val="00CA086E"/>
    <w:rsid w:val="00CA14C0"/>
    <w:rsid w:val="00CA3F0C"/>
    <w:rsid w:val="00CA60AF"/>
    <w:rsid w:val="00CA62E8"/>
    <w:rsid w:val="00CB2991"/>
    <w:rsid w:val="00CB2FB2"/>
    <w:rsid w:val="00CB33B4"/>
    <w:rsid w:val="00CB3C6E"/>
    <w:rsid w:val="00CB3E6A"/>
    <w:rsid w:val="00CB4618"/>
    <w:rsid w:val="00CB6577"/>
    <w:rsid w:val="00CB7B0E"/>
    <w:rsid w:val="00CC004C"/>
    <w:rsid w:val="00CC0584"/>
    <w:rsid w:val="00CC0A46"/>
    <w:rsid w:val="00CC18A1"/>
    <w:rsid w:val="00CC29F3"/>
    <w:rsid w:val="00CC2A0D"/>
    <w:rsid w:val="00CC3AD1"/>
    <w:rsid w:val="00CC5299"/>
    <w:rsid w:val="00CC5B0F"/>
    <w:rsid w:val="00CC5BEC"/>
    <w:rsid w:val="00CC72AA"/>
    <w:rsid w:val="00CD00FA"/>
    <w:rsid w:val="00CD309C"/>
    <w:rsid w:val="00CD3D8D"/>
    <w:rsid w:val="00CD66B4"/>
    <w:rsid w:val="00CE138B"/>
    <w:rsid w:val="00CE28E4"/>
    <w:rsid w:val="00CE5483"/>
    <w:rsid w:val="00CE5F9B"/>
    <w:rsid w:val="00CE7EA2"/>
    <w:rsid w:val="00CF145E"/>
    <w:rsid w:val="00CF2A17"/>
    <w:rsid w:val="00CF2B4F"/>
    <w:rsid w:val="00CF2F2A"/>
    <w:rsid w:val="00CF3FD9"/>
    <w:rsid w:val="00CF43DF"/>
    <w:rsid w:val="00CF49B5"/>
    <w:rsid w:val="00CF5137"/>
    <w:rsid w:val="00CF51A7"/>
    <w:rsid w:val="00D00AB8"/>
    <w:rsid w:val="00D01FFC"/>
    <w:rsid w:val="00D023C5"/>
    <w:rsid w:val="00D0446F"/>
    <w:rsid w:val="00D046BF"/>
    <w:rsid w:val="00D04F4F"/>
    <w:rsid w:val="00D058AE"/>
    <w:rsid w:val="00D07ABD"/>
    <w:rsid w:val="00D1406A"/>
    <w:rsid w:val="00D142F3"/>
    <w:rsid w:val="00D145B8"/>
    <w:rsid w:val="00D15948"/>
    <w:rsid w:val="00D169E1"/>
    <w:rsid w:val="00D176B2"/>
    <w:rsid w:val="00D17A2F"/>
    <w:rsid w:val="00D23FAE"/>
    <w:rsid w:val="00D24720"/>
    <w:rsid w:val="00D2491A"/>
    <w:rsid w:val="00D24BD8"/>
    <w:rsid w:val="00D25B71"/>
    <w:rsid w:val="00D25BF7"/>
    <w:rsid w:val="00D31383"/>
    <w:rsid w:val="00D31EA5"/>
    <w:rsid w:val="00D33512"/>
    <w:rsid w:val="00D35BFE"/>
    <w:rsid w:val="00D35E68"/>
    <w:rsid w:val="00D41BB6"/>
    <w:rsid w:val="00D4389B"/>
    <w:rsid w:val="00D44224"/>
    <w:rsid w:val="00D44B83"/>
    <w:rsid w:val="00D45FC8"/>
    <w:rsid w:val="00D463EE"/>
    <w:rsid w:val="00D46A7B"/>
    <w:rsid w:val="00D5074A"/>
    <w:rsid w:val="00D545D9"/>
    <w:rsid w:val="00D56FA1"/>
    <w:rsid w:val="00D5717B"/>
    <w:rsid w:val="00D604B1"/>
    <w:rsid w:val="00D62794"/>
    <w:rsid w:val="00D62E2B"/>
    <w:rsid w:val="00D64E09"/>
    <w:rsid w:val="00D661FF"/>
    <w:rsid w:val="00D66C76"/>
    <w:rsid w:val="00D81D2E"/>
    <w:rsid w:val="00D81ED5"/>
    <w:rsid w:val="00D81EDE"/>
    <w:rsid w:val="00D83B1D"/>
    <w:rsid w:val="00D83D4A"/>
    <w:rsid w:val="00D84524"/>
    <w:rsid w:val="00D84AEA"/>
    <w:rsid w:val="00D85E56"/>
    <w:rsid w:val="00D87C98"/>
    <w:rsid w:val="00D87E0D"/>
    <w:rsid w:val="00D90B0D"/>
    <w:rsid w:val="00D9108F"/>
    <w:rsid w:val="00D9186B"/>
    <w:rsid w:val="00D9490D"/>
    <w:rsid w:val="00D94F2C"/>
    <w:rsid w:val="00D959C4"/>
    <w:rsid w:val="00D96844"/>
    <w:rsid w:val="00D97599"/>
    <w:rsid w:val="00D97CEA"/>
    <w:rsid w:val="00DA18FD"/>
    <w:rsid w:val="00DA225E"/>
    <w:rsid w:val="00DA45EA"/>
    <w:rsid w:val="00DA4CD1"/>
    <w:rsid w:val="00DA62CB"/>
    <w:rsid w:val="00DB1A5F"/>
    <w:rsid w:val="00DB2589"/>
    <w:rsid w:val="00DB3D30"/>
    <w:rsid w:val="00DB4B27"/>
    <w:rsid w:val="00DB5EE6"/>
    <w:rsid w:val="00DB677D"/>
    <w:rsid w:val="00DB6950"/>
    <w:rsid w:val="00DB734E"/>
    <w:rsid w:val="00DB7450"/>
    <w:rsid w:val="00DC6D08"/>
    <w:rsid w:val="00DC7B54"/>
    <w:rsid w:val="00DD06EA"/>
    <w:rsid w:val="00DD13E8"/>
    <w:rsid w:val="00DD18CF"/>
    <w:rsid w:val="00DD424C"/>
    <w:rsid w:val="00DD5969"/>
    <w:rsid w:val="00DD64FD"/>
    <w:rsid w:val="00DD7665"/>
    <w:rsid w:val="00DD7BED"/>
    <w:rsid w:val="00DD7D4E"/>
    <w:rsid w:val="00DE15EF"/>
    <w:rsid w:val="00DE180E"/>
    <w:rsid w:val="00DE20CB"/>
    <w:rsid w:val="00DE38E8"/>
    <w:rsid w:val="00DE4E9C"/>
    <w:rsid w:val="00DE5590"/>
    <w:rsid w:val="00DE72AF"/>
    <w:rsid w:val="00DE7D84"/>
    <w:rsid w:val="00DF0F71"/>
    <w:rsid w:val="00DF1267"/>
    <w:rsid w:val="00DF18F3"/>
    <w:rsid w:val="00DF3B34"/>
    <w:rsid w:val="00DF4136"/>
    <w:rsid w:val="00DF41B7"/>
    <w:rsid w:val="00DF510F"/>
    <w:rsid w:val="00DF5400"/>
    <w:rsid w:val="00DF56B5"/>
    <w:rsid w:val="00DF5CA4"/>
    <w:rsid w:val="00DF648A"/>
    <w:rsid w:val="00E015F4"/>
    <w:rsid w:val="00E02BFF"/>
    <w:rsid w:val="00E03B14"/>
    <w:rsid w:val="00E04C68"/>
    <w:rsid w:val="00E05C64"/>
    <w:rsid w:val="00E06846"/>
    <w:rsid w:val="00E100AD"/>
    <w:rsid w:val="00E107F4"/>
    <w:rsid w:val="00E125CD"/>
    <w:rsid w:val="00E13E22"/>
    <w:rsid w:val="00E1400E"/>
    <w:rsid w:val="00E17544"/>
    <w:rsid w:val="00E179EF"/>
    <w:rsid w:val="00E2244D"/>
    <w:rsid w:val="00E23BDE"/>
    <w:rsid w:val="00E24FFB"/>
    <w:rsid w:val="00E2582C"/>
    <w:rsid w:val="00E25E4C"/>
    <w:rsid w:val="00E263DF"/>
    <w:rsid w:val="00E2699B"/>
    <w:rsid w:val="00E276BE"/>
    <w:rsid w:val="00E301FF"/>
    <w:rsid w:val="00E30991"/>
    <w:rsid w:val="00E30C65"/>
    <w:rsid w:val="00E315CD"/>
    <w:rsid w:val="00E32D49"/>
    <w:rsid w:val="00E33286"/>
    <w:rsid w:val="00E36101"/>
    <w:rsid w:val="00E3675D"/>
    <w:rsid w:val="00E4152C"/>
    <w:rsid w:val="00E41BB5"/>
    <w:rsid w:val="00E46B1C"/>
    <w:rsid w:val="00E47CE1"/>
    <w:rsid w:val="00E500D5"/>
    <w:rsid w:val="00E5221C"/>
    <w:rsid w:val="00E52CE3"/>
    <w:rsid w:val="00E53C92"/>
    <w:rsid w:val="00E54987"/>
    <w:rsid w:val="00E55808"/>
    <w:rsid w:val="00E56DB0"/>
    <w:rsid w:val="00E57DAF"/>
    <w:rsid w:val="00E624EB"/>
    <w:rsid w:val="00E65453"/>
    <w:rsid w:val="00E65B0A"/>
    <w:rsid w:val="00E675FA"/>
    <w:rsid w:val="00E705F3"/>
    <w:rsid w:val="00E71236"/>
    <w:rsid w:val="00E71A37"/>
    <w:rsid w:val="00E71EE1"/>
    <w:rsid w:val="00E71FEF"/>
    <w:rsid w:val="00E72354"/>
    <w:rsid w:val="00E73B20"/>
    <w:rsid w:val="00E75027"/>
    <w:rsid w:val="00E75E2E"/>
    <w:rsid w:val="00E76C67"/>
    <w:rsid w:val="00E77B61"/>
    <w:rsid w:val="00E81083"/>
    <w:rsid w:val="00E816C2"/>
    <w:rsid w:val="00E81748"/>
    <w:rsid w:val="00E8324D"/>
    <w:rsid w:val="00E83F42"/>
    <w:rsid w:val="00E86166"/>
    <w:rsid w:val="00E8673B"/>
    <w:rsid w:val="00E86EA1"/>
    <w:rsid w:val="00E87017"/>
    <w:rsid w:val="00E8799D"/>
    <w:rsid w:val="00E902F0"/>
    <w:rsid w:val="00E9155E"/>
    <w:rsid w:val="00E93480"/>
    <w:rsid w:val="00E96114"/>
    <w:rsid w:val="00EA08D7"/>
    <w:rsid w:val="00EA3067"/>
    <w:rsid w:val="00EA3C44"/>
    <w:rsid w:val="00EA3CAF"/>
    <w:rsid w:val="00EA4317"/>
    <w:rsid w:val="00EA4CAF"/>
    <w:rsid w:val="00EA5B32"/>
    <w:rsid w:val="00EA6409"/>
    <w:rsid w:val="00EB0B0A"/>
    <w:rsid w:val="00EB0FDE"/>
    <w:rsid w:val="00EB1206"/>
    <w:rsid w:val="00EB31BB"/>
    <w:rsid w:val="00EB3E05"/>
    <w:rsid w:val="00EB5253"/>
    <w:rsid w:val="00EB5490"/>
    <w:rsid w:val="00EC13D1"/>
    <w:rsid w:val="00EC2657"/>
    <w:rsid w:val="00EC2E8C"/>
    <w:rsid w:val="00EC360B"/>
    <w:rsid w:val="00EC412B"/>
    <w:rsid w:val="00EC4668"/>
    <w:rsid w:val="00EC516B"/>
    <w:rsid w:val="00EC7254"/>
    <w:rsid w:val="00ED05F2"/>
    <w:rsid w:val="00ED266D"/>
    <w:rsid w:val="00ED2961"/>
    <w:rsid w:val="00ED39FB"/>
    <w:rsid w:val="00ED3E22"/>
    <w:rsid w:val="00ED54BD"/>
    <w:rsid w:val="00ED5A4B"/>
    <w:rsid w:val="00ED6447"/>
    <w:rsid w:val="00EE02F3"/>
    <w:rsid w:val="00EE1608"/>
    <w:rsid w:val="00EE3232"/>
    <w:rsid w:val="00EE4CC1"/>
    <w:rsid w:val="00EE507B"/>
    <w:rsid w:val="00EE5E59"/>
    <w:rsid w:val="00EE7D6B"/>
    <w:rsid w:val="00EE7EB3"/>
    <w:rsid w:val="00EF017D"/>
    <w:rsid w:val="00EF0ACF"/>
    <w:rsid w:val="00EF31C0"/>
    <w:rsid w:val="00EF367A"/>
    <w:rsid w:val="00EF3B89"/>
    <w:rsid w:val="00EF4194"/>
    <w:rsid w:val="00EF42BA"/>
    <w:rsid w:val="00EF648C"/>
    <w:rsid w:val="00F00C08"/>
    <w:rsid w:val="00F018B1"/>
    <w:rsid w:val="00F0298D"/>
    <w:rsid w:val="00F0544F"/>
    <w:rsid w:val="00F0578C"/>
    <w:rsid w:val="00F0590D"/>
    <w:rsid w:val="00F05C1D"/>
    <w:rsid w:val="00F05C84"/>
    <w:rsid w:val="00F07723"/>
    <w:rsid w:val="00F12477"/>
    <w:rsid w:val="00F13373"/>
    <w:rsid w:val="00F1490B"/>
    <w:rsid w:val="00F154F3"/>
    <w:rsid w:val="00F16755"/>
    <w:rsid w:val="00F16BD8"/>
    <w:rsid w:val="00F16C3C"/>
    <w:rsid w:val="00F20BB7"/>
    <w:rsid w:val="00F214AD"/>
    <w:rsid w:val="00F24562"/>
    <w:rsid w:val="00F24FE0"/>
    <w:rsid w:val="00F25875"/>
    <w:rsid w:val="00F322C7"/>
    <w:rsid w:val="00F32356"/>
    <w:rsid w:val="00F32540"/>
    <w:rsid w:val="00F325B0"/>
    <w:rsid w:val="00F32EE1"/>
    <w:rsid w:val="00F3487F"/>
    <w:rsid w:val="00F35791"/>
    <w:rsid w:val="00F364AA"/>
    <w:rsid w:val="00F40320"/>
    <w:rsid w:val="00F413A1"/>
    <w:rsid w:val="00F424DE"/>
    <w:rsid w:val="00F42908"/>
    <w:rsid w:val="00F43B4C"/>
    <w:rsid w:val="00F45732"/>
    <w:rsid w:val="00F45F93"/>
    <w:rsid w:val="00F47AC3"/>
    <w:rsid w:val="00F50120"/>
    <w:rsid w:val="00F5094B"/>
    <w:rsid w:val="00F51A49"/>
    <w:rsid w:val="00F531D8"/>
    <w:rsid w:val="00F53293"/>
    <w:rsid w:val="00F533A9"/>
    <w:rsid w:val="00F53463"/>
    <w:rsid w:val="00F5389D"/>
    <w:rsid w:val="00F56E3F"/>
    <w:rsid w:val="00F61867"/>
    <w:rsid w:val="00F63C12"/>
    <w:rsid w:val="00F654C8"/>
    <w:rsid w:val="00F65C62"/>
    <w:rsid w:val="00F6667D"/>
    <w:rsid w:val="00F72E8E"/>
    <w:rsid w:val="00F73511"/>
    <w:rsid w:val="00F757AE"/>
    <w:rsid w:val="00F76459"/>
    <w:rsid w:val="00F7715C"/>
    <w:rsid w:val="00F77381"/>
    <w:rsid w:val="00F775B4"/>
    <w:rsid w:val="00F77D98"/>
    <w:rsid w:val="00F82A62"/>
    <w:rsid w:val="00F842BE"/>
    <w:rsid w:val="00F84432"/>
    <w:rsid w:val="00F84CE6"/>
    <w:rsid w:val="00F84FC4"/>
    <w:rsid w:val="00F868E3"/>
    <w:rsid w:val="00F87C6B"/>
    <w:rsid w:val="00F90C40"/>
    <w:rsid w:val="00F91647"/>
    <w:rsid w:val="00F93DDB"/>
    <w:rsid w:val="00FA2FD9"/>
    <w:rsid w:val="00FA3D7F"/>
    <w:rsid w:val="00FA4598"/>
    <w:rsid w:val="00FA4E4A"/>
    <w:rsid w:val="00FA5D83"/>
    <w:rsid w:val="00FA637F"/>
    <w:rsid w:val="00FA66C5"/>
    <w:rsid w:val="00FA67F0"/>
    <w:rsid w:val="00FA7276"/>
    <w:rsid w:val="00FA7560"/>
    <w:rsid w:val="00FB062A"/>
    <w:rsid w:val="00FB16EA"/>
    <w:rsid w:val="00FB279C"/>
    <w:rsid w:val="00FB3277"/>
    <w:rsid w:val="00FB3564"/>
    <w:rsid w:val="00FB42CC"/>
    <w:rsid w:val="00FB502E"/>
    <w:rsid w:val="00FB5422"/>
    <w:rsid w:val="00FB54E0"/>
    <w:rsid w:val="00FB65EF"/>
    <w:rsid w:val="00FB7012"/>
    <w:rsid w:val="00FB76F1"/>
    <w:rsid w:val="00FC0DA9"/>
    <w:rsid w:val="00FC21EA"/>
    <w:rsid w:val="00FC40E9"/>
    <w:rsid w:val="00FC4D9D"/>
    <w:rsid w:val="00FC5132"/>
    <w:rsid w:val="00FD0B4A"/>
    <w:rsid w:val="00FD0D12"/>
    <w:rsid w:val="00FD36C6"/>
    <w:rsid w:val="00FD41F6"/>
    <w:rsid w:val="00FE12DC"/>
    <w:rsid w:val="00FE17AA"/>
    <w:rsid w:val="00FE1B1E"/>
    <w:rsid w:val="00FE35E4"/>
    <w:rsid w:val="00FE3922"/>
    <w:rsid w:val="00FE3AFB"/>
    <w:rsid w:val="00FE41A1"/>
    <w:rsid w:val="00FE51CE"/>
    <w:rsid w:val="00FE5350"/>
    <w:rsid w:val="00FE5DE7"/>
    <w:rsid w:val="00FE5F32"/>
    <w:rsid w:val="00FE7EB6"/>
    <w:rsid w:val="00FF2880"/>
    <w:rsid w:val="00FF28CF"/>
    <w:rsid w:val="00FF5EE2"/>
    <w:rsid w:val="00FF73C9"/>
    <w:rsid w:val="00FF7CAF"/>
    <w:rsid w:val="00FF7E99"/>
    <w:rsid w:val="010CB478"/>
    <w:rsid w:val="01462D8C"/>
    <w:rsid w:val="025A5A8C"/>
    <w:rsid w:val="03169CA6"/>
    <w:rsid w:val="03644A3B"/>
    <w:rsid w:val="046B412B"/>
    <w:rsid w:val="049D44E0"/>
    <w:rsid w:val="08F0570A"/>
    <w:rsid w:val="0B99D7C4"/>
    <w:rsid w:val="0E1B7E60"/>
    <w:rsid w:val="13513959"/>
    <w:rsid w:val="145CEBEE"/>
    <w:rsid w:val="14AE8976"/>
    <w:rsid w:val="154C903D"/>
    <w:rsid w:val="1635F3AE"/>
    <w:rsid w:val="169D0EAA"/>
    <w:rsid w:val="17E5DAEC"/>
    <w:rsid w:val="1933B7E7"/>
    <w:rsid w:val="19726DF9"/>
    <w:rsid w:val="1A142B7D"/>
    <w:rsid w:val="1CD2CAB2"/>
    <w:rsid w:val="1E1383A9"/>
    <w:rsid w:val="247E4088"/>
    <w:rsid w:val="25F8F555"/>
    <w:rsid w:val="25FF5B3D"/>
    <w:rsid w:val="27334F98"/>
    <w:rsid w:val="28785F8C"/>
    <w:rsid w:val="2B115811"/>
    <w:rsid w:val="2E6FC3FC"/>
    <w:rsid w:val="2EEED673"/>
    <w:rsid w:val="2F1A3611"/>
    <w:rsid w:val="2FD040C3"/>
    <w:rsid w:val="31CEDE30"/>
    <w:rsid w:val="32CA87A6"/>
    <w:rsid w:val="337BBA6C"/>
    <w:rsid w:val="34DEDF8F"/>
    <w:rsid w:val="353941D0"/>
    <w:rsid w:val="35A028BE"/>
    <w:rsid w:val="35CF9E51"/>
    <w:rsid w:val="37BF6625"/>
    <w:rsid w:val="392C9CA6"/>
    <w:rsid w:val="3BD84953"/>
    <w:rsid w:val="3D352F7A"/>
    <w:rsid w:val="3D36C625"/>
    <w:rsid w:val="3E87D1E3"/>
    <w:rsid w:val="4034251E"/>
    <w:rsid w:val="40ED204E"/>
    <w:rsid w:val="4174C7DC"/>
    <w:rsid w:val="421A17D9"/>
    <w:rsid w:val="4593BA1F"/>
    <w:rsid w:val="49735CAE"/>
    <w:rsid w:val="49C6CE6F"/>
    <w:rsid w:val="4D510305"/>
    <w:rsid w:val="4DEEC6A4"/>
    <w:rsid w:val="4E652728"/>
    <w:rsid w:val="52F71856"/>
    <w:rsid w:val="530B67B3"/>
    <w:rsid w:val="53774EB3"/>
    <w:rsid w:val="53E9EE43"/>
    <w:rsid w:val="54507980"/>
    <w:rsid w:val="54E31D84"/>
    <w:rsid w:val="573187C5"/>
    <w:rsid w:val="592749C6"/>
    <w:rsid w:val="59726F42"/>
    <w:rsid w:val="5A45E8B4"/>
    <w:rsid w:val="5CF9F58C"/>
    <w:rsid w:val="5DF520AE"/>
    <w:rsid w:val="5EA6DA5A"/>
    <w:rsid w:val="5F322731"/>
    <w:rsid w:val="60E1CE83"/>
    <w:rsid w:val="64474074"/>
    <w:rsid w:val="650E4AF3"/>
    <w:rsid w:val="66DDDC5F"/>
    <w:rsid w:val="6D5BC247"/>
    <w:rsid w:val="6D9DDE0A"/>
    <w:rsid w:val="6E9D37C3"/>
    <w:rsid w:val="7105BFEA"/>
    <w:rsid w:val="71B6D105"/>
    <w:rsid w:val="72C6C0F4"/>
    <w:rsid w:val="730B2889"/>
    <w:rsid w:val="73763E35"/>
    <w:rsid w:val="74955B43"/>
    <w:rsid w:val="74BC6C9E"/>
    <w:rsid w:val="7648C2C1"/>
    <w:rsid w:val="7657D8C7"/>
    <w:rsid w:val="767131B8"/>
    <w:rsid w:val="76E753BB"/>
    <w:rsid w:val="79EA157E"/>
    <w:rsid w:val="7A669011"/>
    <w:rsid w:val="7B404348"/>
    <w:rsid w:val="7BAD184E"/>
    <w:rsid w:val="7DDE2BC6"/>
    <w:rsid w:val="7ED6E407"/>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65499A"/>
  <w15:chartTrackingRefBased/>
  <w15:docId w15:val="{67FCB19D-9417-467E-B31E-8D1B62A97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A7B"/>
  </w:style>
  <w:style w:type="paragraph" w:styleId="Heading1">
    <w:name w:val="heading 1"/>
    <w:basedOn w:val="Normal"/>
    <w:next w:val="Normal"/>
    <w:link w:val="Heading1Char"/>
    <w:uiPriority w:val="9"/>
    <w:qFormat/>
    <w:rsid w:val="004722DB"/>
    <w:pPr>
      <w:keepNext/>
      <w:keepLines/>
      <w:spacing w:before="240" w:after="240" w:line="240" w:lineRule="auto"/>
      <w:outlineLvl w:val="0"/>
    </w:pPr>
    <w:rPr>
      <w:rFonts w:asciiTheme="majorHAnsi" w:eastAsiaTheme="majorEastAsia" w:hAnsiTheme="majorHAnsi" w:cstheme="majorBidi"/>
      <w:b/>
      <w:color w:val="2C1263"/>
      <w:sz w:val="32"/>
      <w:szCs w:val="32"/>
    </w:rPr>
  </w:style>
  <w:style w:type="paragraph" w:styleId="Heading2">
    <w:name w:val="heading 2"/>
    <w:basedOn w:val="Heading3"/>
    <w:next w:val="Normal"/>
    <w:link w:val="Heading2Char"/>
    <w:uiPriority w:val="9"/>
    <w:unhideWhenUsed/>
    <w:qFormat/>
    <w:rsid w:val="00A0030B"/>
    <w:pPr>
      <w:spacing w:before="120"/>
      <w:outlineLvl w:val="1"/>
    </w:pPr>
    <w:rPr>
      <w:rFonts w:asciiTheme="minorHAnsi" w:hAnsiTheme="minorHAnsi" w:cstheme="minorHAnsi"/>
      <w:b/>
      <w:bCs/>
      <w:sz w:val="28"/>
      <w:szCs w:val="28"/>
    </w:rPr>
  </w:style>
  <w:style w:type="paragraph" w:styleId="Heading3">
    <w:name w:val="heading 3"/>
    <w:basedOn w:val="Normal"/>
    <w:next w:val="Normal"/>
    <w:link w:val="Heading3Char"/>
    <w:uiPriority w:val="9"/>
    <w:unhideWhenUsed/>
    <w:qFormat/>
    <w:rsid w:val="00D46A7B"/>
    <w:pPr>
      <w:keepNext/>
      <w:keepLines/>
      <w:spacing w:before="40"/>
      <w:outlineLvl w:val="2"/>
    </w:pPr>
    <w:rPr>
      <w:rFonts w:asciiTheme="majorHAnsi" w:eastAsiaTheme="majorEastAsia" w:hAnsiTheme="majorHAnsi" w:cstheme="majorBidi"/>
      <w:color w:val="2C126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7A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A52"/>
    <w:rPr>
      <w:rFonts w:ascii="Segoe UI" w:hAnsi="Segoe UI" w:cs="Segoe UI"/>
      <w:sz w:val="18"/>
      <w:szCs w:val="18"/>
    </w:rPr>
  </w:style>
  <w:style w:type="paragraph" w:styleId="ListParagraph">
    <w:name w:val="List Paragraph"/>
    <w:basedOn w:val="Normal"/>
    <w:uiPriority w:val="34"/>
    <w:qFormat/>
    <w:rsid w:val="00DD5969"/>
    <w:pPr>
      <w:ind w:left="720"/>
      <w:contextualSpacing/>
    </w:pPr>
  </w:style>
  <w:style w:type="table" w:styleId="TableGrid">
    <w:name w:val="Table Grid"/>
    <w:basedOn w:val="TableNormal"/>
    <w:uiPriority w:val="39"/>
    <w:rsid w:val="00FF2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7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C4E"/>
  </w:style>
  <w:style w:type="paragraph" w:styleId="Footer">
    <w:name w:val="footer"/>
    <w:basedOn w:val="Normal"/>
    <w:link w:val="FooterChar"/>
    <w:uiPriority w:val="99"/>
    <w:unhideWhenUsed/>
    <w:rsid w:val="001F7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C4E"/>
  </w:style>
  <w:style w:type="character" w:styleId="Hyperlink">
    <w:name w:val="Hyperlink"/>
    <w:basedOn w:val="DefaultParagraphFont"/>
    <w:uiPriority w:val="99"/>
    <w:unhideWhenUsed/>
    <w:qFormat/>
    <w:rsid w:val="00D46A7B"/>
    <w:rPr>
      <w:rFonts w:asciiTheme="minorHAnsi" w:hAnsiTheme="minorHAnsi"/>
      <w:b/>
      <w:color w:val="2C1263"/>
      <w:sz w:val="22"/>
      <w:u w:val="single"/>
    </w:rPr>
  </w:style>
  <w:style w:type="character" w:customStyle="1" w:styleId="Heading1Char">
    <w:name w:val="Heading 1 Char"/>
    <w:basedOn w:val="DefaultParagraphFont"/>
    <w:link w:val="Heading1"/>
    <w:uiPriority w:val="9"/>
    <w:rsid w:val="004722DB"/>
    <w:rPr>
      <w:rFonts w:asciiTheme="majorHAnsi" w:eastAsiaTheme="majorEastAsia" w:hAnsiTheme="majorHAnsi" w:cstheme="majorBidi"/>
      <w:b/>
      <w:color w:val="2C1263"/>
      <w:sz w:val="32"/>
      <w:szCs w:val="32"/>
    </w:rPr>
  </w:style>
  <w:style w:type="character" w:customStyle="1" w:styleId="Heading2Char">
    <w:name w:val="Heading 2 Char"/>
    <w:basedOn w:val="DefaultParagraphFont"/>
    <w:link w:val="Heading2"/>
    <w:uiPriority w:val="9"/>
    <w:rsid w:val="00A0030B"/>
    <w:rPr>
      <w:rFonts w:eastAsiaTheme="majorEastAsia" w:cstheme="minorHAnsi"/>
      <w:b/>
      <w:bCs/>
      <w:color w:val="2C1263"/>
      <w:sz w:val="28"/>
      <w:szCs w:val="28"/>
    </w:rPr>
  </w:style>
  <w:style w:type="character" w:customStyle="1" w:styleId="Heading3Char">
    <w:name w:val="Heading 3 Char"/>
    <w:basedOn w:val="DefaultParagraphFont"/>
    <w:link w:val="Heading3"/>
    <w:uiPriority w:val="9"/>
    <w:rsid w:val="00D46A7B"/>
    <w:rPr>
      <w:rFonts w:asciiTheme="majorHAnsi" w:eastAsiaTheme="majorEastAsia" w:hAnsiTheme="majorHAnsi" w:cstheme="majorBidi"/>
      <w:color w:val="2C1263"/>
      <w:sz w:val="24"/>
      <w:szCs w:val="24"/>
    </w:rPr>
  </w:style>
  <w:style w:type="paragraph" w:styleId="Title">
    <w:name w:val="Title"/>
    <w:basedOn w:val="Normal"/>
    <w:next w:val="Normal"/>
    <w:link w:val="TitleChar"/>
    <w:uiPriority w:val="10"/>
    <w:qFormat/>
    <w:rsid w:val="00D46A7B"/>
    <w:pPr>
      <w:spacing w:after="0" w:line="240" w:lineRule="auto"/>
      <w:contextualSpacing/>
    </w:pPr>
    <w:rPr>
      <w:rFonts w:ascii="Segoe UI" w:eastAsiaTheme="majorEastAsia" w:hAnsi="Segoe UI" w:cstheme="majorBidi"/>
      <w:noProof/>
      <w:spacing w:val="-10"/>
      <w:kern w:val="28"/>
      <w:sz w:val="52"/>
      <w:szCs w:val="56"/>
      <w:lang w:eastAsia="en-AU"/>
    </w:rPr>
  </w:style>
  <w:style w:type="character" w:customStyle="1" w:styleId="TitleChar">
    <w:name w:val="Title Char"/>
    <w:basedOn w:val="DefaultParagraphFont"/>
    <w:link w:val="Title"/>
    <w:uiPriority w:val="10"/>
    <w:rsid w:val="00D46A7B"/>
    <w:rPr>
      <w:rFonts w:ascii="Segoe UI" w:eastAsiaTheme="majorEastAsia" w:hAnsi="Segoe UI" w:cstheme="majorBidi"/>
      <w:noProof/>
      <w:spacing w:val="-10"/>
      <w:kern w:val="28"/>
      <w:sz w:val="52"/>
      <w:szCs w:val="56"/>
      <w:lang w:eastAsia="en-AU"/>
    </w:rPr>
  </w:style>
  <w:style w:type="paragraph" w:styleId="Subtitle">
    <w:name w:val="Subtitle"/>
    <w:basedOn w:val="Normal"/>
    <w:next w:val="Normal"/>
    <w:link w:val="SubtitleChar"/>
    <w:uiPriority w:val="11"/>
    <w:rsid w:val="00DD5969"/>
    <w:pPr>
      <w:numPr>
        <w:ilvl w:val="1"/>
      </w:numPr>
      <w:spacing w:after="160"/>
    </w:pPr>
    <w:rPr>
      <w:color w:val="828282" w:themeColor="text1" w:themeTint="A5"/>
      <w:spacing w:val="15"/>
    </w:rPr>
  </w:style>
  <w:style w:type="character" w:customStyle="1" w:styleId="SubtitleChar">
    <w:name w:val="Subtitle Char"/>
    <w:basedOn w:val="DefaultParagraphFont"/>
    <w:link w:val="Subtitle"/>
    <w:uiPriority w:val="11"/>
    <w:rsid w:val="00DD5969"/>
    <w:rPr>
      <w:color w:val="828282" w:themeColor="text1" w:themeTint="A5"/>
      <w:spacing w:val="15"/>
    </w:rPr>
  </w:style>
  <w:style w:type="paragraph" w:styleId="NoSpacing">
    <w:name w:val="No Spacing"/>
    <w:link w:val="NoSpacingChar"/>
    <w:uiPriority w:val="1"/>
    <w:rsid w:val="00DD5969"/>
    <w:pPr>
      <w:spacing w:after="0" w:line="240" w:lineRule="auto"/>
    </w:pPr>
  </w:style>
  <w:style w:type="character" w:customStyle="1" w:styleId="NoSpacingChar">
    <w:name w:val="No Spacing Char"/>
    <w:basedOn w:val="DefaultParagraphFont"/>
    <w:link w:val="NoSpacing"/>
    <w:uiPriority w:val="1"/>
    <w:rsid w:val="00DD5969"/>
  </w:style>
  <w:style w:type="paragraph" w:styleId="IntenseQuote">
    <w:name w:val="Intense Quote"/>
    <w:basedOn w:val="Normal"/>
    <w:next w:val="Normal"/>
    <w:link w:val="IntenseQuoteChar"/>
    <w:uiPriority w:val="30"/>
    <w:rsid w:val="00B43C07"/>
    <w:pPr>
      <w:pBdr>
        <w:top w:val="single" w:sz="4" w:space="10" w:color="333366"/>
        <w:left w:val="single" w:sz="4" w:space="4" w:color="333366"/>
        <w:bottom w:val="single" w:sz="4" w:space="10" w:color="333366"/>
        <w:right w:val="single" w:sz="4" w:space="4" w:color="333366"/>
      </w:pBdr>
      <w:spacing w:before="360" w:after="360" w:line="240" w:lineRule="auto"/>
      <w:jc w:val="center"/>
    </w:pPr>
    <w:rPr>
      <w:rFonts w:asciiTheme="majorHAnsi" w:hAnsiTheme="majorHAnsi"/>
      <w:iCs/>
      <w:color w:val="333366"/>
      <w:sz w:val="24"/>
    </w:rPr>
  </w:style>
  <w:style w:type="character" w:customStyle="1" w:styleId="IntenseQuoteChar">
    <w:name w:val="Intense Quote Char"/>
    <w:basedOn w:val="DefaultParagraphFont"/>
    <w:link w:val="IntenseQuote"/>
    <w:uiPriority w:val="30"/>
    <w:rsid w:val="00B43C07"/>
    <w:rPr>
      <w:rFonts w:asciiTheme="majorHAnsi" w:hAnsiTheme="majorHAnsi"/>
      <w:iCs/>
      <w:color w:val="333366"/>
      <w:sz w:val="24"/>
    </w:rPr>
  </w:style>
  <w:style w:type="table" w:styleId="ListTable3-Accent5">
    <w:name w:val="List Table 3 Accent 5"/>
    <w:basedOn w:val="TableNormal"/>
    <w:uiPriority w:val="48"/>
    <w:rsid w:val="00DD5969"/>
    <w:pPr>
      <w:spacing w:after="0" w:line="240" w:lineRule="auto"/>
    </w:pPr>
    <w:tblPr>
      <w:tblStyleRowBandSize w:val="1"/>
      <w:tblStyleColBandSize w:val="1"/>
      <w:tblBorders>
        <w:top w:val="single" w:sz="4" w:space="0" w:color="CFCFE7" w:themeColor="accent5"/>
        <w:left w:val="single" w:sz="4" w:space="0" w:color="CFCFE7" w:themeColor="accent5"/>
        <w:bottom w:val="single" w:sz="4" w:space="0" w:color="CFCFE7" w:themeColor="accent5"/>
        <w:right w:val="single" w:sz="4" w:space="0" w:color="CFCFE7" w:themeColor="accent5"/>
      </w:tblBorders>
    </w:tblPr>
    <w:tblStylePr w:type="firstRow">
      <w:rPr>
        <w:b/>
        <w:bCs/>
        <w:color w:val="FFFFFF" w:themeColor="background1"/>
      </w:rPr>
      <w:tblPr/>
      <w:tcPr>
        <w:shd w:val="clear" w:color="auto" w:fill="CFCFE7" w:themeFill="accent5"/>
      </w:tcPr>
    </w:tblStylePr>
    <w:tblStylePr w:type="lastRow">
      <w:rPr>
        <w:b/>
        <w:bCs/>
      </w:rPr>
      <w:tblPr/>
      <w:tcPr>
        <w:tcBorders>
          <w:top w:val="double" w:sz="4" w:space="0" w:color="CFCFE7"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FCFE7" w:themeColor="accent5"/>
          <w:right w:val="single" w:sz="4" w:space="0" w:color="CFCFE7" w:themeColor="accent5"/>
        </w:tcBorders>
      </w:tcPr>
    </w:tblStylePr>
    <w:tblStylePr w:type="band1Horz">
      <w:tblPr/>
      <w:tcPr>
        <w:tcBorders>
          <w:top w:val="single" w:sz="4" w:space="0" w:color="CFCFE7" w:themeColor="accent5"/>
          <w:bottom w:val="single" w:sz="4" w:space="0" w:color="CFCFE7"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FCFE7" w:themeColor="accent5"/>
          <w:left w:val="nil"/>
        </w:tcBorders>
      </w:tcPr>
    </w:tblStylePr>
    <w:tblStylePr w:type="swCell">
      <w:tblPr/>
      <w:tcPr>
        <w:tcBorders>
          <w:top w:val="double" w:sz="4" w:space="0" w:color="CFCFE7" w:themeColor="accent5"/>
          <w:right w:val="nil"/>
        </w:tcBorders>
      </w:tcPr>
    </w:tblStylePr>
  </w:style>
  <w:style w:type="character" w:styleId="Emphasis">
    <w:name w:val="Emphasis"/>
    <w:basedOn w:val="DefaultParagraphFont"/>
    <w:uiPriority w:val="20"/>
    <w:qFormat/>
    <w:rsid w:val="00D46A7B"/>
    <w:rPr>
      <w:i/>
      <w:iCs/>
    </w:rPr>
  </w:style>
  <w:style w:type="paragraph" w:styleId="Quote">
    <w:name w:val="Quote"/>
    <w:basedOn w:val="Normal"/>
    <w:next w:val="Normal"/>
    <w:link w:val="QuoteChar"/>
    <w:uiPriority w:val="29"/>
    <w:rsid w:val="002E0A3A"/>
    <w:pPr>
      <w:spacing w:before="200" w:after="160"/>
      <w:ind w:left="864" w:right="864"/>
      <w:jc w:val="center"/>
    </w:pPr>
    <w:rPr>
      <w:i/>
      <w:iCs/>
      <w:color w:val="6F6F6F" w:themeColor="text1" w:themeTint="BF"/>
    </w:rPr>
  </w:style>
  <w:style w:type="character" w:customStyle="1" w:styleId="QuoteChar">
    <w:name w:val="Quote Char"/>
    <w:basedOn w:val="DefaultParagraphFont"/>
    <w:link w:val="Quote"/>
    <w:uiPriority w:val="29"/>
    <w:rsid w:val="002E0A3A"/>
    <w:rPr>
      <w:i/>
      <w:iCs/>
      <w:color w:val="6F6F6F" w:themeColor="text1" w:themeTint="BF"/>
    </w:rPr>
  </w:style>
  <w:style w:type="character" w:styleId="IntenseEmphasis">
    <w:name w:val="Intense Emphasis"/>
    <w:basedOn w:val="DefaultParagraphFont"/>
    <w:uiPriority w:val="21"/>
    <w:rsid w:val="002E0A3A"/>
    <w:rPr>
      <w:i/>
      <w:iCs/>
      <w:color w:val="2C1263" w:themeColor="accent1"/>
    </w:rPr>
  </w:style>
  <w:style w:type="paragraph" w:customStyle="1" w:styleId="IntenseQuote2">
    <w:name w:val="Intense Quote 2"/>
    <w:basedOn w:val="IntenseQuote"/>
    <w:link w:val="IntenseQuote2Char"/>
    <w:rsid w:val="002B1D88"/>
    <w:pPr>
      <w:pBdr>
        <w:top w:val="single" w:sz="4" w:space="10" w:color="FA5A00"/>
        <w:left w:val="single" w:sz="4" w:space="4" w:color="FA5A00"/>
        <w:bottom w:val="single" w:sz="4" w:space="10" w:color="FA5A00"/>
        <w:right w:val="single" w:sz="4" w:space="4" w:color="FA5A00"/>
      </w:pBdr>
    </w:pPr>
    <w:rPr>
      <w:color w:val="2C1263" w:themeColor="text2"/>
    </w:rPr>
  </w:style>
  <w:style w:type="table" w:styleId="GridTable4-Accent5">
    <w:name w:val="Grid Table 4 Accent 5"/>
    <w:basedOn w:val="TableNormal"/>
    <w:uiPriority w:val="49"/>
    <w:rsid w:val="000324CA"/>
    <w:pPr>
      <w:spacing w:after="0" w:line="240" w:lineRule="auto"/>
    </w:pPr>
    <w:tblPr>
      <w:tblStyleRowBandSize w:val="1"/>
      <w:tblStyleColBandSize w:val="1"/>
      <w:tblBorders>
        <w:top w:val="single" w:sz="4" w:space="0" w:color="E2E2F0" w:themeColor="accent5" w:themeTint="99"/>
        <w:left w:val="single" w:sz="4" w:space="0" w:color="E2E2F0" w:themeColor="accent5" w:themeTint="99"/>
        <w:bottom w:val="single" w:sz="4" w:space="0" w:color="E2E2F0" w:themeColor="accent5" w:themeTint="99"/>
        <w:right w:val="single" w:sz="4" w:space="0" w:color="E2E2F0" w:themeColor="accent5" w:themeTint="99"/>
        <w:insideH w:val="single" w:sz="4" w:space="0" w:color="E2E2F0" w:themeColor="accent5" w:themeTint="99"/>
        <w:insideV w:val="single" w:sz="4" w:space="0" w:color="E2E2F0" w:themeColor="accent5" w:themeTint="99"/>
      </w:tblBorders>
    </w:tblPr>
    <w:tblStylePr w:type="firstRow">
      <w:rPr>
        <w:b/>
        <w:bCs/>
        <w:color w:val="FFFFFF" w:themeColor="background1"/>
      </w:rPr>
      <w:tblPr/>
      <w:tcPr>
        <w:tcBorders>
          <w:top w:val="single" w:sz="4" w:space="0" w:color="CFCFE7" w:themeColor="accent5"/>
          <w:left w:val="single" w:sz="4" w:space="0" w:color="CFCFE7" w:themeColor="accent5"/>
          <w:bottom w:val="single" w:sz="4" w:space="0" w:color="CFCFE7" w:themeColor="accent5"/>
          <w:right w:val="single" w:sz="4" w:space="0" w:color="CFCFE7" w:themeColor="accent5"/>
          <w:insideH w:val="nil"/>
          <w:insideV w:val="nil"/>
        </w:tcBorders>
        <w:shd w:val="clear" w:color="auto" w:fill="CFCFE7" w:themeFill="accent5"/>
      </w:tcPr>
    </w:tblStylePr>
    <w:tblStylePr w:type="lastRow">
      <w:rPr>
        <w:b/>
        <w:bCs/>
      </w:rPr>
      <w:tblPr/>
      <w:tcPr>
        <w:tcBorders>
          <w:top w:val="double" w:sz="4" w:space="0" w:color="CFCFE7" w:themeColor="accent5"/>
        </w:tcBorders>
      </w:tcPr>
    </w:tblStylePr>
    <w:tblStylePr w:type="firstCol">
      <w:rPr>
        <w:b/>
        <w:bCs/>
      </w:rPr>
    </w:tblStylePr>
    <w:tblStylePr w:type="lastCol">
      <w:rPr>
        <w:b/>
        <w:bCs/>
      </w:rPr>
    </w:tblStylePr>
    <w:tblStylePr w:type="band1Vert">
      <w:tblPr/>
      <w:tcPr>
        <w:shd w:val="clear" w:color="auto" w:fill="F5F5FA" w:themeFill="accent5" w:themeFillTint="33"/>
      </w:tcPr>
    </w:tblStylePr>
    <w:tblStylePr w:type="band1Horz">
      <w:tblPr/>
      <w:tcPr>
        <w:shd w:val="clear" w:color="auto" w:fill="F5F5FA" w:themeFill="accent5" w:themeFillTint="33"/>
      </w:tcPr>
    </w:tblStylePr>
  </w:style>
  <w:style w:type="character" w:customStyle="1" w:styleId="IntenseQuote2Char">
    <w:name w:val="Intense Quote 2 Char"/>
    <w:basedOn w:val="DefaultParagraphFont"/>
    <w:link w:val="IntenseQuote2"/>
    <w:rsid w:val="002B1D88"/>
    <w:rPr>
      <w:rFonts w:asciiTheme="majorHAnsi" w:hAnsiTheme="majorHAnsi"/>
      <w:iCs/>
      <w:color w:val="2C1263" w:themeColor="text2"/>
      <w:sz w:val="24"/>
    </w:rPr>
  </w:style>
  <w:style w:type="paragraph" w:styleId="TOCHeading">
    <w:name w:val="TOC Heading"/>
    <w:basedOn w:val="Heading1"/>
    <w:next w:val="Normal"/>
    <w:uiPriority w:val="39"/>
    <w:unhideWhenUsed/>
    <w:qFormat/>
    <w:rsid w:val="00D46A7B"/>
    <w:pPr>
      <w:spacing w:after="0" w:line="259" w:lineRule="auto"/>
      <w:outlineLvl w:val="9"/>
    </w:pPr>
    <w:rPr>
      <w:b w:val="0"/>
      <w:color w:val="200D49" w:themeColor="accent1" w:themeShade="BF"/>
      <w:lang w:val="en-US"/>
    </w:rPr>
  </w:style>
  <w:style w:type="paragraph" w:styleId="TOC1">
    <w:name w:val="toc 1"/>
    <w:basedOn w:val="Normal"/>
    <w:next w:val="Normal"/>
    <w:autoRedefine/>
    <w:uiPriority w:val="39"/>
    <w:unhideWhenUsed/>
    <w:rsid w:val="003939E7"/>
    <w:pPr>
      <w:spacing w:after="100"/>
    </w:pPr>
  </w:style>
  <w:style w:type="paragraph" w:styleId="TOC2">
    <w:name w:val="toc 2"/>
    <w:basedOn w:val="Normal"/>
    <w:next w:val="Normal"/>
    <w:autoRedefine/>
    <w:uiPriority w:val="39"/>
    <w:unhideWhenUsed/>
    <w:rsid w:val="003939E7"/>
    <w:pPr>
      <w:spacing w:after="100"/>
      <w:ind w:left="220"/>
    </w:pPr>
  </w:style>
  <w:style w:type="paragraph" w:styleId="TOC3">
    <w:name w:val="toc 3"/>
    <w:basedOn w:val="Normal"/>
    <w:next w:val="Normal"/>
    <w:autoRedefine/>
    <w:uiPriority w:val="39"/>
    <w:unhideWhenUsed/>
    <w:rsid w:val="003939E7"/>
    <w:pPr>
      <w:spacing w:after="100"/>
      <w:ind w:left="440"/>
    </w:pPr>
  </w:style>
  <w:style w:type="character" w:styleId="UnresolvedMention">
    <w:name w:val="Unresolved Mention"/>
    <w:basedOn w:val="DefaultParagraphFont"/>
    <w:uiPriority w:val="99"/>
    <w:semiHidden/>
    <w:unhideWhenUsed/>
    <w:rsid w:val="00DA4CD1"/>
    <w:rPr>
      <w:color w:val="605E5C"/>
      <w:shd w:val="clear" w:color="auto" w:fill="E1DFDD"/>
    </w:rPr>
  </w:style>
  <w:style w:type="character" w:styleId="CommentReference">
    <w:name w:val="annotation reference"/>
    <w:basedOn w:val="DefaultParagraphFont"/>
    <w:uiPriority w:val="99"/>
    <w:semiHidden/>
    <w:unhideWhenUsed/>
    <w:rsid w:val="00644E73"/>
    <w:rPr>
      <w:sz w:val="16"/>
      <w:szCs w:val="16"/>
    </w:rPr>
  </w:style>
  <w:style w:type="paragraph" w:styleId="CommentText">
    <w:name w:val="annotation text"/>
    <w:basedOn w:val="Normal"/>
    <w:link w:val="CommentTextChar"/>
    <w:uiPriority w:val="99"/>
    <w:unhideWhenUsed/>
    <w:rsid w:val="00644E73"/>
    <w:pPr>
      <w:spacing w:line="240" w:lineRule="auto"/>
    </w:pPr>
    <w:rPr>
      <w:sz w:val="20"/>
      <w:szCs w:val="20"/>
    </w:rPr>
  </w:style>
  <w:style w:type="character" w:customStyle="1" w:styleId="CommentTextChar">
    <w:name w:val="Comment Text Char"/>
    <w:basedOn w:val="DefaultParagraphFont"/>
    <w:link w:val="CommentText"/>
    <w:uiPriority w:val="99"/>
    <w:rsid w:val="00644E73"/>
    <w:rPr>
      <w:sz w:val="20"/>
      <w:szCs w:val="20"/>
    </w:rPr>
  </w:style>
  <w:style w:type="paragraph" w:styleId="CommentSubject">
    <w:name w:val="annotation subject"/>
    <w:basedOn w:val="CommentText"/>
    <w:next w:val="CommentText"/>
    <w:link w:val="CommentSubjectChar"/>
    <w:uiPriority w:val="99"/>
    <w:semiHidden/>
    <w:unhideWhenUsed/>
    <w:rsid w:val="00644E73"/>
    <w:rPr>
      <w:b/>
      <w:bCs/>
    </w:rPr>
  </w:style>
  <w:style w:type="character" w:customStyle="1" w:styleId="CommentSubjectChar">
    <w:name w:val="Comment Subject Char"/>
    <w:basedOn w:val="CommentTextChar"/>
    <w:link w:val="CommentSubject"/>
    <w:uiPriority w:val="99"/>
    <w:semiHidden/>
    <w:rsid w:val="00644E73"/>
    <w:rPr>
      <w:b/>
      <w:bCs/>
      <w:sz w:val="20"/>
      <w:szCs w:val="20"/>
    </w:rPr>
  </w:style>
  <w:style w:type="paragraph" w:styleId="FootnoteText">
    <w:name w:val="footnote text"/>
    <w:basedOn w:val="Normal"/>
    <w:link w:val="FootnoteTextChar"/>
    <w:uiPriority w:val="99"/>
    <w:unhideWhenUsed/>
    <w:rsid w:val="00DB4B27"/>
    <w:pPr>
      <w:spacing w:after="0" w:line="240" w:lineRule="auto"/>
    </w:pPr>
    <w:rPr>
      <w:sz w:val="20"/>
      <w:szCs w:val="20"/>
    </w:rPr>
  </w:style>
  <w:style w:type="character" w:customStyle="1" w:styleId="FootnoteTextChar">
    <w:name w:val="Footnote Text Char"/>
    <w:basedOn w:val="DefaultParagraphFont"/>
    <w:link w:val="FootnoteText"/>
    <w:uiPriority w:val="99"/>
    <w:rsid w:val="00DB4B27"/>
    <w:rPr>
      <w:sz w:val="20"/>
      <w:szCs w:val="20"/>
    </w:rPr>
  </w:style>
  <w:style w:type="character" w:styleId="FootnoteReference">
    <w:name w:val="footnote reference"/>
    <w:basedOn w:val="DefaultParagraphFont"/>
    <w:uiPriority w:val="99"/>
    <w:semiHidden/>
    <w:unhideWhenUsed/>
    <w:rsid w:val="00DB4B27"/>
    <w:rPr>
      <w:vertAlign w:val="superscript"/>
    </w:rPr>
  </w:style>
  <w:style w:type="character" w:styleId="FollowedHyperlink">
    <w:name w:val="FollowedHyperlink"/>
    <w:basedOn w:val="DefaultParagraphFont"/>
    <w:uiPriority w:val="99"/>
    <w:semiHidden/>
    <w:unhideWhenUsed/>
    <w:rsid w:val="00676541"/>
    <w:rPr>
      <w:color w:val="2C1263" w:themeColor="followedHyperlink"/>
      <w:u w:val="single"/>
    </w:rPr>
  </w:style>
  <w:style w:type="paragraph" w:styleId="Revision">
    <w:name w:val="Revision"/>
    <w:hidden/>
    <w:uiPriority w:val="99"/>
    <w:semiHidden/>
    <w:rsid w:val="00B21A8A"/>
    <w:pPr>
      <w:spacing w:after="0" w:line="240" w:lineRule="auto"/>
    </w:pPr>
  </w:style>
  <w:style w:type="paragraph" w:customStyle="1" w:styleId="BoxQuote">
    <w:name w:val="Box Quote"/>
    <w:basedOn w:val="IntenseQuote"/>
    <w:link w:val="BoxQuoteChar"/>
    <w:qFormat/>
    <w:rsid w:val="00852090"/>
    <w:pPr>
      <w:pBdr>
        <w:top w:val="single" w:sz="6" w:space="6" w:color="2C1263" w:themeColor="text2"/>
        <w:left w:val="single" w:sz="6" w:space="4" w:color="2C1263" w:themeColor="text2"/>
        <w:bottom w:val="single" w:sz="6" w:space="10" w:color="2C1263" w:themeColor="text2"/>
        <w:right w:val="single" w:sz="6" w:space="4" w:color="2C1263" w:themeColor="text2"/>
      </w:pBdr>
      <w:spacing w:before="120" w:after="120"/>
      <w:jc w:val="left"/>
    </w:pPr>
    <w:rPr>
      <w:color w:val="2C1263" w:themeColor="text2"/>
      <w:sz w:val="20"/>
    </w:rPr>
  </w:style>
  <w:style w:type="character" w:customStyle="1" w:styleId="BoxQuoteChar">
    <w:name w:val="Box Quote Char"/>
    <w:basedOn w:val="DefaultParagraphFont"/>
    <w:link w:val="BoxQuote"/>
    <w:rsid w:val="00852090"/>
    <w:rPr>
      <w:rFonts w:asciiTheme="majorHAnsi" w:hAnsiTheme="majorHAnsi"/>
      <w:iCs/>
      <w:color w:val="2C1263" w:themeColor="text2"/>
      <w:sz w:val="20"/>
    </w:rPr>
  </w:style>
  <w:style w:type="paragraph" w:customStyle="1" w:styleId="DotPoints">
    <w:name w:val="Dot Points"/>
    <w:basedOn w:val="ListParagraph"/>
    <w:link w:val="DotPointsChar"/>
    <w:qFormat/>
    <w:rsid w:val="00D46A7B"/>
    <w:pPr>
      <w:numPr>
        <w:numId w:val="1"/>
      </w:numPr>
    </w:pPr>
    <w:rPr>
      <w:rFonts w:eastAsia="Times New Roman" w:cstheme="minorHAnsi"/>
      <w:color w:val="000000"/>
      <w:shd w:val="clear" w:color="auto" w:fill="FFFFFF"/>
    </w:rPr>
  </w:style>
  <w:style w:type="character" w:customStyle="1" w:styleId="DotPointsChar">
    <w:name w:val="Dot Points Char"/>
    <w:basedOn w:val="DefaultParagraphFont"/>
    <w:link w:val="DotPoints"/>
    <w:rsid w:val="00D46A7B"/>
    <w:rPr>
      <w:rFonts w:eastAsia="Times New Roman" w:cstheme="minorHAnsi"/>
      <w:color w:val="000000"/>
    </w:rPr>
  </w:style>
  <w:style w:type="paragraph" w:styleId="Date">
    <w:name w:val="Date"/>
    <w:basedOn w:val="Normal"/>
    <w:next w:val="Normal"/>
    <w:link w:val="DateChar"/>
    <w:uiPriority w:val="99"/>
    <w:semiHidden/>
    <w:unhideWhenUsed/>
    <w:rsid w:val="0001561E"/>
  </w:style>
  <w:style w:type="character" w:customStyle="1" w:styleId="DateChar">
    <w:name w:val="Date Char"/>
    <w:basedOn w:val="DefaultParagraphFont"/>
    <w:link w:val="Date"/>
    <w:uiPriority w:val="99"/>
    <w:semiHidden/>
    <w:rsid w:val="0001561E"/>
  </w:style>
  <w:style w:type="character" w:styleId="Strong">
    <w:name w:val="Strong"/>
    <w:basedOn w:val="DefaultParagraphFont"/>
    <w:uiPriority w:val="22"/>
    <w:qFormat/>
    <w:rsid w:val="00ED39FB"/>
    <w:rPr>
      <w:b/>
      <w:bCs/>
    </w:rPr>
  </w:style>
  <w:style w:type="paragraph" w:styleId="NormalWeb">
    <w:name w:val="Normal (Web)"/>
    <w:basedOn w:val="Normal"/>
    <w:uiPriority w:val="99"/>
    <w:semiHidden/>
    <w:unhideWhenUsed/>
    <w:rsid w:val="0081374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pf0">
    <w:name w:val="pf0"/>
    <w:basedOn w:val="Normal"/>
    <w:rsid w:val="0040432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f01">
    <w:name w:val="cf01"/>
    <w:basedOn w:val="DefaultParagraphFont"/>
    <w:rsid w:val="0040432F"/>
    <w:rPr>
      <w:rFonts w:ascii="Segoe UI" w:hAnsi="Segoe UI" w:cs="Segoe UI" w:hint="default"/>
      <w:sz w:val="18"/>
      <w:szCs w:val="18"/>
    </w:rPr>
  </w:style>
  <w:style w:type="character" w:customStyle="1" w:styleId="normaltextrun">
    <w:name w:val="normaltextrun"/>
    <w:basedOn w:val="DefaultParagraphFont"/>
    <w:rsid w:val="00D94F2C"/>
  </w:style>
  <w:style w:type="character" w:customStyle="1" w:styleId="findhit">
    <w:name w:val="findhit"/>
    <w:basedOn w:val="DefaultParagraphFont"/>
    <w:rsid w:val="00D94F2C"/>
  </w:style>
  <w:style w:type="paragraph" w:customStyle="1" w:styleId="BoxQuote2">
    <w:name w:val="Box Quote 2"/>
    <w:basedOn w:val="BoxQuote"/>
    <w:link w:val="BoxQuote2Char"/>
    <w:qFormat/>
    <w:rsid w:val="0010768A"/>
    <w:pPr>
      <w:pBdr>
        <w:top w:val="single" w:sz="48" w:space="1" w:color="E2E2F0" w:themeColor="accent6" w:themeTint="33"/>
        <w:left w:val="single" w:sz="48" w:space="4" w:color="E2E2F0" w:themeColor="accent6" w:themeTint="33"/>
        <w:bottom w:val="single" w:sz="48" w:space="1" w:color="E2E2F0" w:themeColor="accent6" w:themeTint="33"/>
        <w:right w:val="single" w:sz="48" w:space="4" w:color="E2E2F0" w:themeColor="accent6" w:themeTint="33"/>
      </w:pBdr>
      <w:shd w:val="clear" w:color="auto" w:fill="E2E2F0" w:themeFill="accent6" w:themeFillTint="33"/>
      <w:spacing w:before="0" w:after="0"/>
    </w:pPr>
  </w:style>
  <w:style w:type="character" w:customStyle="1" w:styleId="BoxQuote2Char">
    <w:name w:val="Box Quote 2 Char"/>
    <w:basedOn w:val="BoxQuoteChar"/>
    <w:link w:val="BoxQuote2"/>
    <w:rsid w:val="0010768A"/>
    <w:rPr>
      <w:rFonts w:asciiTheme="majorHAnsi" w:hAnsiTheme="majorHAnsi"/>
      <w:iCs/>
      <w:color w:val="2C1263" w:themeColor="text2"/>
      <w:sz w:val="20"/>
      <w:shd w:val="clear" w:color="auto" w:fill="E2E2F0" w:themeFill="accent6" w:themeFillTint="33"/>
    </w:rPr>
  </w:style>
  <w:style w:type="paragraph" w:styleId="TableofFigures">
    <w:name w:val="table of figures"/>
    <w:basedOn w:val="Normal"/>
    <w:next w:val="Normal"/>
    <w:unhideWhenUsed/>
    <w:rsid w:val="00A91E0E"/>
    <w:pPr>
      <w:numPr>
        <w:numId w:val="14"/>
      </w:numPr>
      <w:spacing w:before="120" w:after="0" w:line="240" w:lineRule="auto"/>
    </w:pPr>
    <w:rPr>
      <w:rFonts w:ascii="Arial" w:eastAsia="Times New Roman" w:hAnsi="Arial" w:cs="Times New Roman"/>
      <w:szCs w:val="20"/>
    </w:rPr>
  </w:style>
  <w:style w:type="paragraph" w:styleId="EndnoteText">
    <w:name w:val="endnote text"/>
    <w:basedOn w:val="Normal"/>
    <w:link w:val="EndnoteTextChar"/>
    <w:uiPriority w:val="99"/>
    <w:semiHidden/>
    <w:unhideWhenUsed/>
    <w:rsid w:val="0055027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50270"/>
    <w:rPr>
      <w:sz w:val="20"/>
      <w:szCs w:val="20"/>
    </w:rPr>
  </w:style>
  <w:style w:type="character" w:styleId="EndnoteReference">
    <w:name w:val="endnote reference"/>
    <w:basedOn w:val="DefaultParagraphFont"/>
    <w:uiPriority w:val="99"/>
    <w:semiHidden/>
    <w:unhideWhenUsed/>
    <w:rsid w:val="0055027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26351">
      <w:bodyDiv w:val="1"/>
      <w:marLeft w:val="0"/>
      <w:marRight w:val="0"/>
      <w:marTop w:val="0"/>
      <w:marBottom w:val="0"/>
      <w:divBdr>
        <w:top w:val="none" w:sz="0" w:space="0" w:color="auto"/>
        <w:left w:val="none" w:sz="0" w:space="0" w:color="auto"/>
        <w:bottom w:val="none" w:sz="0" w:space="0" w:color="auto"/>
        <w:right w:val="none" w:sz="0" w:space="0" w:color="auto"/>
      </w:divBdr>
    </w:div>
    <w:div w:id="38946048">
      <w:bodyDiv w:val="1"/>
      <w:marLeft w:val="0"/>
      <w:marRight w:val="0"/>
      <w:marTop w:val="0"/>
      <w:marBottom w:val="0"/>
      <w:divBdr>
        <w:top w:val="none" w:sz="0" w:space="0" w:color="auto"/>
        <w:left w:val="none" w:sz="0" w:space="0" w:color="auto"/>
        <w:bottom w:val="none" w:sz="0" w:space="0" w:color="auto"/>
        <w:right w:val="none" w:sz="0" w:space="0" w:color="auto"/>
      </w:divBdr>
    </w:div>
    <w:div w:id="67655145">
      <w:bodyDiv w:val="1"/>
      <w:marLeft w:val="0"/>
      <w:marRight w:val="0"/>
      <w:marTop w:val="0"/>
      <w:marBottom w:val="0"/>
      <w:divBdr>
        <w:top w:val="none" w:sz="0" w:space="0" w:color="auto"/>
        <w:left w:val="none" w:sz="0" w:space="0" w:color="auto"/>
        <w:bottom w:val="none" w:sz="0" w:space="0" w:color="auto"/>
        <w:right w:val="none" w:sz="0" w:space="0" w:color="auto"/>
      </w:divBdr>
    </w:div>
    <w:div w:id="532766203">
      <w:bodyDiv w:val="1"/>
      <w:marLeft w:val="0"/>
      <w:marRight w:val="0"/>
      <w:marTop w:val="0"/>
      <w:marBottom w:val="0"/>
      <w:divBdr>
        <w:top w:val="none" w:sz="0" w:space="0" w:color="auto"/>
        <w:left w:val="none" w:sz="0" w:space="0" w:color="auto"/>
        <w:bottom w:val="none" w:sz="0" w:space="0" w:color="auto"/>
        <w:right w:val="none" w:sz="0" w:space="0" w:color="auto"/>
      </w:divBdr>
    </w:div>
    <w:div w:id="570316079">
      <w:bodyDiv w:val="1"/>
      <w:marLeft w:val="0"/>
      <w:marRight w:val="0"/>
      <w:marTop w:val="0"/>
      <w:marBottom w:val="0"/>
      <w:divBdr>
        <w:top w:val="none" w:sz="0" w:space="0" w:color="auto"/>
        <w:left w:val="none" w:sz="0" w:space="0" w:color="auto"/>
        <w:bottom w:val="none" w:sz="0" w:space="0" w:color="auto"/>
        <w:right w:val="none" w:sz="0" w:space="0" w:color="auto"/>
      </w:divBdr>
    </w:div>
    <w:div w:id="589705383">
      <w:bodyDiv w:val="1"/>
      <w:marLeft w:val="0"/>
      <w:marRight w:val="0"/>
      <w:marTop w:val="0"/>
      <w:marBottom w:val="0"/>
      <w:divBdr>
        <w:top w:val="none" w:sz="0" w:space="0" w:color="auto"/>
        <w:left w:val="none" w:sz="0" w:space="0" w:color="auto"/>
        <w:bottom w:val="none" w:sz="0" w:space="0" w:color="auto"/>
        <w:right w:val="none" w:sz="0" w:space="0" w:color="auto"/>
      </w:divBdr>
    </w:div>
    <w:div w:id="660037490">
      <w:bodyDiv w:val="1"/>
      <w:marLeft w:val="0"/>
      <w:marRight w:val="0"/>
      <w:marTop w:val="0"/>
      <w:marBottom w:val="0"/>
      <w:divBdr>
        <w:top w:val="none" w:sz="0" w:space="0" w:color="auto"/>
        <w:left w:val="none" w:sz="0" w:space="0" w:color="auto"/>
        <w:bottom w:val="none" w:sz="0" w:space="0" w:color="auto"/>
        <w:right w:val="none" w:sz="0" w:space="0" w:color="auto"/>
      </w:divBdr>
    </w:div>
    <w:div w:id="1040201127">
      <w:bodyDiv w:val="1"/>
      <w:marLeft w:val="0"/>
      <w:marRight w:val="0"/>
      <w:marTop w:val="0"/>
      <w:marBottom w:val="0"/>
      <w:divBdr>
        <w:top w:val="none" w:sz="0" w:space="0" w:color="auto"/>
        <w:left w:val="none" w:sz="0" w:space="0" w:color="auto"/>
        <w:bottom w:val="none" w:sz="0" w:space="0" w:color="auto"/>
        <w:right w:val="none" w:sz="0" w:space="0" w:color="auto"/>
      </w:divBdr>
    </w:div>
    <w:div w:id="1304701552">
      <w:bodyDiv w:val="1"/>
      <w:marLeft w:val="0"/>
      <w:marRight w:val="0"/>
      <w:marTop w:val="0"/>
      <w:marBottom w:val="0"/>
      <w:divBdr>
        <w:top w:val="none" w:sz="0" w:space="0" w:color="auto"/>
        <w:left w:val="none" w:sz="0" w:space="0" w:color="auto"/>
        <w:bottom w:val="none" w:sz="0" w:space="0" w:color="auto"/>
        <w:right w:val="none" w:sz="0" w:space="0" w:color="auto"/>
      </w:divBdr>
    </w:div>
    <w:div w:id="1414738679">
      <w:bodyDiv w:val="1"/>
      <w:marLeft w:val="0"/>
      <w:marRight w:val="0"/>
      <w:marTop w:val="0"/>
      <w:marBottom w:val="0"/>
      <w:divBdr>
        <w:top w:val="none" w:sz="0" w:space="0" w:color="auto"/>
        <w:left w:val="none" w:sz="0" w:space="0" w:color="auto"/>
        <w:bottom w:val="none" w:sz="0" w:space="0" w:color="auto"/>
        <w:right w:val="none" w:sz="0" w:space="0" w:color="auto"/>
      </w:divBdr>
    </w:div>
    <w:div w:id="1602492312">
      <w:bodyDiv w:val="1"/>
      <w:marLeft w:val="0"/>
      <w:marRight w:val="0"/>
      <w:marTop w:val="0"/>
      <w:marBottom w:val="0"/>
      <w:divBdr>
        <w:top w:val="none" w:sz="0" w:space="0" w:color="auto"/>
        <w:left w:val="none" w:sz="0" w:space="0" w:color="auto"/>
        <w:bottom w:val="none" w:sz="0" w:space="0" w:color="auto"/>
        <w:right w:val="none" w:sz="0" w:space="0" w:color="auto"/>
      </w:divBdr>
    </w:div>
    <w:div w:id="1671829887">
      <w:bodyDiv w:val="1"/>
      <w:marLeft w:val="0"/>
      <w:marRight w:val="0"/>
      <w:marTop w:val="0"/>
      <w:marBottom w:val="0"/>
      <w:divBdr>
        <w:top w:val="none" w:sz="0" w:space="0" w:color="auto"/>
        <w:left w:val="none" w:sz="0" w:space="0" w:color="auto"/>
        <w:bottom w:val="none" w:sz="0" w:space="0" w:color="auto"/>
        <w:right w:val="none" w:sz="0" w:space="0" w:color="auto"/>
      </w:divBdr>
    </w:div>
    <w:div w:id="2046561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mcwh.com.au" TargetMode="External"/><Relationship Id="rId26" Type="http://schemas.openxmlformats.org/officeDocument/2006/relationships/hyperlink" Target="https://www.instagram.com/mcwh1978/" TargetMode="External"/><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aph.gov.au/Parliamentary_Business/Committees/Senate/Community_Affairs/ReproductiveHealthcare/Report" TargetMode="External"/><Relationship Id="rId25" Type="http://schemas.openxmlformats.org/officeDocument/2006/relationships/image" Target="cid:image002.jpg@01D9057F.D767A660"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health.gov.au/resources/publications/deed-for-the-provision-of-overseas-student-health-cover-1-july-2022" TargetMode="External"/><Relationship Id="rId20" Type="http://schemas.openxmlformats.org/officeDocument/2006/relationships/hyperlink" Target="https://www.facebook.com/MulticulturalCentreforWomensHealth/" TargetMode="External"/><Relationship Id="rId29" Type="http://schemas.openxmlformats.org/officeDocument/2006/relationships/hyperlink" Target="https://www.linkedin.com/company/multicultural-centre-for-women's-health/mycompan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4.jpe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health.gov.au/resources/publications/deed-for-the-provision-of-overseas-student-health-cover-1-july-2025?language=en" TargetMode="External"/><Relationship Id="rId23" Type="http://schemas.openxmlformats.org/officeDocument/2006/relationships/hyperlink" Target="https://twitter.com/MCWH1978" TargetMode="External"/><Relationship Id="rId28" Type="http://schemas.openxmlformats.org/officeDocument/2006/relationships/image" Target="cid:image003.png@01D9057F.D767A660" TargetMode="External"/><Relationship Id="rId10" Type="http://schemas.openxmlformats.org/officeDocument/2006/relationships/endnotes" Target="endnotes.xml"/><Relationship Id="rId19" Type="http://schemas.openxmlformats.org/officeDocument/2006/relationships/hyperlink" Target="mailto:reception@mcwh.com.au" TargetMode="External"/><Relationship Id="rId31" Type="http://schemas.openxmlformats.org/officeDocument/2006/relationships/image" Target="cid:image004.jpg@01D9057F.D767A66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image" Target="cid:image001.jpg@01D9057F.D767A660" TargetMode="External"/><Relationship Id="rId27" Type="http://schemas.openxmlformats.org/officeDocument/2006/relationships/image" Target="media/image5.png"/><Relationship Id="rId30" Type="http://schemas.openxmlformats.org/officeDocument/2006/relationships/image" Target="media/image6.jpeg"/><Relationship Id="rId8" Type="http://schemas.openxmlformats.org/officeDocument/2006/relationships/webSettings" Target="webSettings.xml"/></Relationships>
</file>

<file path=word/_rels/endnotes.xml.rels><?xml version="1.0" encoding="UTF-8" standalone="yes"?>
<Relationships xmlns="http://schemas.openxmlformats.org/package/2006/relationships"><Relationship Id="rId8" Type="http://schemas.openxmlformats.org/officeDocument/2006/relationships/hyperlink" Target="https://opus.lib.uts.edu.au/bitstream/10453/142533/2/internationalstudentsandhousing%20report%20ss.com%3A2020%3A08%3Ainternational-students-and-housing-survey-report-final-no-logos-5-aug-2020.pdf" TargetMode="External"/><Relationship Id="rId13" Type="http://schemas.openxmlformats.org/officeDocument/2006/relationships/hyperlink" Target="https://www.mcwh.com.au/wp-content/uploads/MCWH-Position-Paper-International-Student-OSHC-2013.pdf" TargetMode="External"/><Relationship Id="rId18" Type="http://schemas.openxmlformats.org/officeDocument/2006/relationships/hyperlink" Target="https://doi.org/10.1177/10283153231178135" TargetMode="External"/><Relationship Id="rId3" Type="http://schemas.openxmlformats.org/officeDocument/2006/relationships/hyperlink" Target="https://www.rba.gov.au/publications/bulletin/2025/jul/pdf/international-students-and-the-australian-economy.pdf" TargetMode="External"/><Relationship Id="rId7" Type="http://schemas.openxmlformats.org/officeDocument/2006/relationships/hyperlink" Target="https://doi.org/10.1177/0020872820949621" TargetMode="External"/><Relationship Id="rId12" Type="http://schemas.openxmlformats.org/officeDocument/2006/relationships/hyperlink" Target="https://www.health.gov.au/sites/default/files/documents/2020/06/overseas-student-health-cover-oshc-explanatory-guidelines-for-consumers-oshc-explanatory-guidelines-for-consumers_0.pdf" TargetMode="External"/><Relationship Id="rId17" Type="http://schemas.openxmlformats.org/officeDocument/2006/relationships/hyperlink" Target="https://consultations.health.gov.au/provider-benefits-integrity/improving-the-oshc-program/" TargetMode="External"/><Relationship Id="rId2" Type="http://schemas.openxmlformats.org/officeDocument/2006/relationships/hyperlink" Target="https://www.education.gov.au/international-education-data-and-research/education-export-income-calendar-year" TargetMode="External"/><Relationship Id="rId16" Type="http://schemas.openxmlformats.org/officeDocument/2006/relationships/hyperlink" Target="https://consultations.health.gov.au/provider-benefits-integrity/improving-the-oshc-program/supporting_documents/Overseas%20Student%20Health%20Cover%20Consultation%20Paper%20%20May%202024.pdf" TargetMode="External"/><Relationship Id="rId20" Type="http://schemas.openxmlformats.org/officeDocument/2006/relationships/hyperlink" Target="https://humanrights.gov.au/sites/default/files/ahrc_international_student_principles_21th_jan2022.pdf__0.pdf" TargetMode="External"/><Relationship Id="rId1" Type="http://schemas.openxmlformats.org/officeDocument/2006/relationships/hyperlink" Target="https://www.education.gov.au/international-education-data-and-research/international-student-monthly-summary-and-data-tables" TargetMode="External"/><Relationship Id="rId6" Type="http://schemas.openxmlformats.org/officeDocument/2006/relationships/hyperlink" Target="https://doi.org/10.1080/07294360.2020.1825346" TargetMode="External"/><Relationship Id="rId11" Type="http://schemas.openxmlformats.org/officeDocument/2006/relationships/hyperlink" Target="https://doi.org/10.1111/1471-0528.18249" TargetMode="External"/><Relationship Id="rId5" Type="http://schemas.openxmlformats.org/officeDocument/2006/relationships/hyperlink" Target="https://immi.homeaffairs.gov.au/visas/getting-a-visa/visa-listing/student-500" TargetMode="External"/><Relationship Id="rId15" Type="http://schemas.openxmlformats.org/officeDocument/2006/relationships/hyperlink" Target="https://doi.org/10.1177/10778012241247198" TargetMode="External"/><Relationship Id="rId10" Type="http://schemas.openxmlformats.org/officeDocument/2006/relationships/hyperlink" Target="https://doi.org/10.1080/13691058.2024.2410834" TargetMode="External"/><Relationship Id="rId19" Type="http://schemas.openxmlformats.org/officeDocument/2006/relationships/hyperlink" Target="https://privatehealthcareaustralia.org.au/wp-content/uploads/20240624-PHA-submission-to-OSHC-consultation.pdf" TargetMode="External"/><Relationship Id="rId4" Type="http://schemas.openxmlformats.org/officeDocument/2006/relationships/hyperlink" Target="https://www.jobsandskills.gov.au/sites/default/files/2025-09/international_students_pathways_and_outcomes_study_report.pdf" TargetMode="External"/><Relationship Id="rId9" Type="http://schemas.openxmlformats.org/officeDocument/2006/relationships/hyperlink" Target="https://doi.org/10.1080/1323238X.2021.1901645" TargetMode="External"/><Relationship Id="rId14" Type="http://schemas.openxmlformats.org/officeDocument/2006/relationships/hyperlink" Target="https://doi.org/10.32674/jis.v4i2.475" TargetMode="External"/></Relationships>
</file>

<file path=word/theme/theme1.xml><?xml version="1.0" encoding="utf-8"?>
<a:theme xmlns:a="http://schemas.openxmlformats.org/drawingml/2006/main" name="Office Theme">
  <a:themeElements>
    <a:clrScheme name="MCWH 2023">
      <a:dk1>
        <a:srgbClr val="3F3F3F"/>
      </a:dk1>
      <a:lt1>
        <a:sysClr val="window" lastClr="FFFFFF"/>
      </a:lt1>
      <a:dk2>
        <a:srgbClr val="2C1263"/>
      </a:dk2>
      <a:lt2>
        <a:srgbClr val="F2F2F2"/>
      </a:lt2>
      <a:accent1>
        <a:srgbClr val="2C1263"/>
      </a:accent1>
      <a:accent2>
        <a:srgbClr val="F77400"/>
      </a:accent2>
      <a:accent3>
        <a:srgbClr val="D5325E"/>
      </a:accent3>
      <a:accent4>
        <a:srgbClr val="FFC000"/>
      </a:accent4>
      <a:accent5>
        <a:srgbClr val="CFCFE7"/>
      </a:accent5>
      <a:accent6>
        <a:srgbClr val="7070B7"/>
      </a:accent6>
      <a:hlink>
        <a:srgbClr val="F77400"/>
      </a:hlink>
      <a:folHlink>
        <a:srgbClr val="2C1263"/>
      </a:folHlink>
    </a:clrScheme>
    <a:fontScheme name="MCWH 2023">
      <a:majorFont>
        <a:latin typeface="Segoe UI Semibold"/>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ing xmlns="3f5f9763-dc55-45b7-b163-2ee61c7fbfda">1</ordering>
    <lcf76f155ced4ddcb4097134ff3c332f xmlns="3f5f9763-dc55-45b7-b163-2ee61c7fbfda">
      <Terms xmlns="http://schemas.microsoft.com/office/infopath/2007/PartnerControls"/>
    </lcf76f155ced4ddcb4097134ff3c332f>
    <test xmlns="3f5f9763-dc55-45b7-b163-2ee61c7fbfda" xsi:nil="true"/>
    <Order0 xmlns="3f5f9763-dc55-45b7-b163-2ee61c7fbfda" xsi:nil="true"/>
    <TaxCatchAll xmlns="8ddf8112-8e29-4333-9e87-b696cd75de7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9FF74230B17054496B744941E65339B" ma:contentTypeVersion="17" ma:contentTypeDescription="Create a new document." ma:contentTypeScope="" ma:versionID="ed5ba95c44146270ff5352fc8e358207">
  <xsd:schema xmlns:xsd="http://www.w3.org/2001/XMLSchema" xmlns:xs="http://www.w3.org/2001/XMLSchema" xmlns:p="http://schemas.microsoft.com/office/2006/metadata/properties" xmlns:ns2="3f5f9763-dc55-45b7-b163-2ee61c7fbfda" xmlns:ns3="8ddf8112-8e29-4333-9e87-b696cd75de72" targetNamespace="http://schemas.microsoft.com/office/2006/metadata/properties" ma:root="true" ma:fieldsID="94d7a56113fbf0a576d6dae8588d5ce1" ns2:_="" ns3:_="">
    <xsd:import namespace="3f5f9763-dc55-45b7-b163-2ee61c7fbfda"/>
    <xsd:import namespace="8ddf8112-8e29-4333-9e87-b696cd75de7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MediaServiceLocation" minOccurs="0"/>
                <xsd:element ref="ns2:lcf76f155ced4ddcb4097134ff3c332f" minOccurs="0"/>
                <xsd:element ref="ns3:TaxCatchAll" minOccurs="0"/>
                <xsd:element ref="ns2:MediaServiceOCR" minOccurs="0"/>
                <xsd:element ref="ns2:Order0" minOccurs="0"/>
                <xsd:element ref="ns2:ordering" minOccurs="0"/>
                <xsd:element ref="ns2:tes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5f9763-dc55-45b7-b163-2ee61c7fbf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MediaServiceLocation" ma:index="17" nillable="true" ma:displayName="Location" ma:descrip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Order0" ma:index="22" nillable="true" ma:displayName="Order" ma:format="Dropdown" ma:internalName="Order0" ma:percentage="FALSE">
      <xsd:simpleType>
        <xsd:restriction base="dms:Number"/>
      </xsd:simpleType>
    </xsd:element>
    <xsd:element name="ordering" ma:index="23" nillable="true" ma:displayName="ordering" ma:decimals="1" ma:default="1" ma:format="Dropdown" ma:internalName="ordering" ma:percentage="FALSE">
      <xsd:simpleType>
        <xsd:restriction base="dms:Number"/>
      </xsd:simpleType>
    </xsd:element>
    <xsd:element name="test" ma:index="24" nillable="true" ma:displayName="test" ma:format="Dropdown" ma:internalName="test"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8ddf8112-8e29-4333-9e87-b696cd75de7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525cff3f-bd8b-4b3e-ae37-873e4186ccdf}" ma:internalName="TaxCatchAll" ma:showField="CatchAllData" ma:web="8ddf8112-8e29-4333-9e87-b696cd75de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C7A02F-406C-4CF2-914E-0D332E9EB3D0}">
  <ds:schemaRefs>
    <ds:schemaRef ds:uri="http://schemas.microsoft.com/sharepoint/v3/contenttype/forms"/>
  </ds:schemaRefs>
</ds:datastoreItem>
</file>

<file path=customXml/itemProps2.xml><?xml version="1.0" encoding="utf-8"?>
<ds:datastoreItem xmlns:ds="http://schemas.openxmlformats.org/officeDocument/2006/customXml" ds:itemID="{2F150E7B-2C14-4AAE-AE3C-38C1F6F9C09E}">
  <ds:schemaRefs>
    <ds:schemaRef ds:uri="http://schemas.microsoft.com/office/infopath/2007/PartnerControls"/>
    <ds:schemaRef ds:uri="http://www.w3.org/XML/1998/namespace"/>
    <ds:schemaRef ds:uri="http://schemas.microsoft.com/office/2006/documentManagement/types"/>
    <ds:schemaRef ds:uri="3f5f9763-dc55-45b7-b163-2ee61c7fbfda"/>
    <ds:schemaRef ds:uri="http://purl.org/dc/terms/"/>
    <ds:schemaRef ds:uri="http://schemas.microsoft.com/office/2006/metadata/properties"/>
    <ds:schemaRef ds:uri="http://purl.org/dc/dcmitype/"/>
    <ds:schemaRef ds:uri="http://purl.org/dc/elements/1.1/"/>
    <ds:schemaRef ds:uri="http://schemas.openxmlformats.org/package/2006/metadata/core-properties"/>
    <ds:schemaRef ds:uri="8ddf8112-8e29-4333-9e87-b696cd75de72"/>
  </ds:schemaRefs>
</ds:datastoreItem>
</file>

<file path=customXml/itemProps3.xml><?xml version="1.0" encoding="utf-8"?>
<ds:datastoreItem xmlns:ds="http://schemas.openxmlformats.org/officeDocument/2006/customXml" ds:itemID="{EE8D3F63-CA5E-45D1-A3AC-401060FCD520}">
  <ds:schemaRefs>
    <ds:schemaRef ds:uri="http://schemas.openxmlformats.org/officeDocument/2006/bibliography"/>
  </ds:schemaRefs>
</ds:datastoreItem>
</file>

<file path=customXml/itemProps4.xml><?xml version="1.0" encoding="utf-8"?>
<ds:datastoreItem xmlns:ds="http://schemas.openxmlformats.org/officeDocument/2006/customXml" ds:itemID="{28AF1EF2-ED28-4DB5-AB93-89B6815714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5f9763-dc55-45b7-b163-2ee61c7fbfda"/>
    <ds:schemaRef ds:uri="8ddf8112-8e29-4333-9e87-b696cd75de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7</Pages>
  <Words>2349</Words>
  <Characters>13393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15711</CharactersWithSpaces>
  <SharedDoc>false</SharedDoc>
  <HLinks>
    <vt:vector size="150" baseType="variant">
      <vt:variant>
        <vt:i4>262261</vt:i4>
      </vt:variant>
      <vt:variant>
        <vt:i4>15</vt:i4>
      </vt:variant>
      <vt:variant>
        <vt:i4>0</vt:i4>
      </vt:variant>
      <vt:variant>
        <vt:i4>5</vt:i4>
      </vt:variant>
      <vt:variant>
        <vt:lpwstr>mailto:reception@mcwh.com.au</vt:lpwstr>
      </vt:variant>
      <vt:variant>
        <vt:lpwstr/>
      </vt:variant>
      <vt:variant>
        <vt:i4>2818100</vt:i4>
      </vt:variant>
      <vt:variant>
        <vt:i4>12</vt:i4>
      </vt:variant>
      <vt:variant>
        <vt:i4>0</vt:i4>
      </vt:variant>
      <vt:variant>
        <vt:i4>5</vt:i4>
      </vt:variant>
      <vt:variant>
        <vt:lpwstr>http://www.mcwh.com.au/</vt:lpwstr>
      </vt:variant>
      <vt:variant>
        <vt:lpwstr/>
      </vt:variant>
      <vt:variant>
        <vt:i4>7143483</vt:i4>
      </vt:variant>
      <vt:variant>
        <vt:i4>9</vt:i4>
      </vt:variant>
      <vt:variant>
        <vt:i4>0</vt:i4>
      </vt:variant>
      <vt:variant>
        <vt:i4>5</vt:i4>
      </vt:variant>
      <vt:variant>
        <vt:lpwstr>https://www.mcwh.com.au/wp-content/uploads/MCWH-Position-Paper-International-Student-OSHC-2013.pdf</vt:lpwstr>
      </vt:variant>
      <vt:variant>
        <vt:lpwstr/>
      </vt:variant>
      <vt:variant>
        <vt:i4>7143483</vt:i4>
      </vt:variant>
      <vt:variant>
        <vt:i4>6</vt:i4>
      </vt:variant>
      <vt:variant>
        <vt:i4>0</vt:i4>
      </vt:variant>
      <vt:variant>
        <vt:i4>5</vt:i4>
      </vt:variant>
      <vt:variant>
        <vt:lpwstr>https://www.mcwh.com.au/wp-content/uploads/MCWH-Position-Paper-International-Student-OSHC-2013.pdf</vt:lpwstr>
      </vt:variant>
      <vt:variant>
        <vt:lpwstr/>
      </vt:variant>
      <vt:variant>
        <vt:i4>5832733</vt:i4>
      </vt:variant>
      <vt:variant>
        <vt:i4>3</vt:i4>
      </vt:variant>
      <vt:variant>
        <vt:i4>0</vt:i4>
      </vt:variant>
      <vt:variant>
        <vt:i4>5</vt:i4>
      </vt:variant>
      <vt:variant>
        <vt:lpwstr>https://consultations.health.gov.au/provider-benefits-integrity/improving-the-oshc-program/consultation/download/</vt:lpwstr>
      </vt:variant>
      <vt:variant>
        <vt:lpwstr/>
      </vt:variant>
      <vt:variant>
        <vt:i4>5111833</vt:i4>
      </vt:variant>
      <vt:variant>
        <vt:i4>0</vt:i4>
      </vt:variant>
      <vt:variant>
        <vt:i4>0</vt:i4>
      </vt:variant>
      <vt:variant>
        <vt:i4>5</vt:i4>
      </vt:variant>
      <vt:variant>
        <vt:lpwstr>https://www.health.gov.au/resources/publications/deed-for-the-provision-of-overseas-student-health-cover</vt:lpwstr>
      </vt:variant>
      <vt:variant>
        <vt:lpwstr/>
      </vt:variant>
      <vt:variant>
        <vt:i4>1835024</vt:i4>
      </vt:variant>
      <vt:variant>
        <vt:i4>48</vt:i4>
      </vt:variant>
      <vt:variant>
        <vt:i4>0</vt:i4>
      </vt:variant>
      <vt:variant>
        <vt:i4>5</vt:i4>
      </vt:variant>
      <vt:variant>
        <vt:lpwstr>https://www.mcwh.com.au/wp-content/uploads/SRH-Report-2021-for-web-accessible.pdf</vt:lpwstr>
      </vt:variant>
      <vt:variant>
        <vt:lpwstr/>
      </vt:variant>
      <vt:variant>
        <vt:i4>6684785</vt:i4>
      </vt:variant>
      <vt:variant>
        <vt:i4>45</vt:i4>
      </vt:variant>
      <vt:variant>
        <vt:i4>0</vt:i4>
      </vt:variant>
      <vt:variant>
        <vt:i4>5</vt:i4>
      </vt:variant>
      <vt:variant>
        <vt:lpwstr>https://www.womenshealthtas.org.au/sites/default/files/resources/talking-women-temporary-visas/talking-women-temporary-visas-report.pdf</vt:lpwstr>
      </vt:variant>
      <vt:variant>
        <vt:lpwstr/>
      </vt:variant>
      <vt:variant>
        <vt:i4>2359340</vt:i4>
      </vt:variant>
      <vt:variant>
        <vt:i4>42</vt:i4>
      </vt:variant>
      <vt:variant>
        <vt:i4>0</vt:i4>
      </vt:variant>
      <vt:variant>
        <vt:i4>5</vt:i4>
      </vt:variant>
      <vt:variant>
        <vt:lpwstr>https://journals.sagepub.com/doi/full/10.1177/10283153231178135</vt:lpwstr>
      </vt:variant>
      <vt:variant>
        <vt:lpwstr/>
      </vt:variant>
      <vt:variant>
        <vt:i4>5439578</vt:i4>
      </vt:variant>
      <vt:variant>
        <vt:i4>39</vt:i4>
      </vt:variant>
      <vt:variant>
        <vt:i4>0</vt:i4>
      </vt:variant>
      <vt:variant>
        <vt:i4>5</vt:i4>
      </vt:variant>
      <vt:variant>
        <vt:lpwstr>https://files.eric.ed.gov/fulltext/EJ1054792.pdf</vt:lpwstr>
      </vt:variant>
      <vt:variant>
        <vt:lpwstr/>
      </vt:variant>
      <vt:variant>
        <vt:i4>2752571</vt:i4>
      </vt:variant>
      <vt:variant>
        <vt:i4>36</vt:i4>
      </vt:variant>
      <vt:variant>
        <vt:i4>0</vt:i4>
      </vt:variant>
      <vt:variant>
        <vt:i4>5</vt:i4>
      </vt:variant>
      <vt:variant>
        <vt:lpwstr>https://www.msiaustralia.org.au/our-services/what-will-it-cost/</vt:lpwstr>
      </vt:variant>
      <vt:variant>
        <vt:lpwstr/>
      </vt:variant>
      <vt:variant>
        <vt:i4>2424947</vt:i4>
      </vt:variant>
      <vt:variant>
        <vt:i4>33</vt:i4>
      </vt:variant>
      <vt:variant>
        <vt:i4>0</vt:i4>
      </vt:variant>
      <vt:variant>
        <vt:i4>5</vt:i4>
      </vt:variant>
      <vt:variant>
        <vt:lpwstr>https://journals.sagepub.com/doi/pdf/10.1177/10778012241247198</vt:lpwstr>
      </vt:variant>
      <vt:variant>
        <vt:lpwstr/>
      </vt:variant>
      <vt:variant>
        <vt:i4>4587589</vt:i4>
      </vt:variant>
      <vt:variant>
        <vt:i4>30</vt:i4>
      </vt:variant>
      <vt:variant>
        <vt:i4>0</vt:i4>
      </vt:variant>
      <vt:variant>
        <vt:i4>5</vt:i4>
      </vt:variant>
      <vt:variant>
        <vt:lpwstr>https://immi.homeaffairs.gov.au/visas/getting-a-visa/visa-listing/student-500</vt:lpwstr>
      </vt:variant>
      <vt:variant>
        <vt:lpwstr>:~:text=With%20this%20visa%20you%20can&amp;text=work%20up%20to%2048%20hours,or%20training%20is%20in%20session</vt:lpwstr>
      </vt:variant>
      <vt:variant>
        <vt:i4>5439578</vt:i4>
      </vt:variant>
      <vt:variant>
        <vt:i4>27</vt:i4>
      </vt:variant>
      <vt:variant>
        <vt:i4>0</vt:i4>
      </vt:variant>
      <vt:variant>
        <vt:i4>5</vt:i4>
      </vt:variant>
      <vt:variant>
        <vt:lpwstr>https://files.eric.ed.gov/fulltext/EJ1054792.pdf</vt:lpwstr>
      </vt:variant>
      <vt:variant>
        <vt:lpwstr/>
      </vt:variant>
      <vt:variant>
        <vt:i4>2097270</vt:i4>
      </vt:variant>
      <vt:variant>
        <vt:i4>24</vt:i4>
      </vt:variant>
      <vt:variant>
        <vt:i4>0</vt:i4>
      </vt:variant>
      <vt:variant>
        <vt:i4>5</vt:i4>
      </vt:variant>
      <vt:variant>
        <vt:lpwstr>https://www.publish.csiro.au/SH/pdf/SH19209</vt:lpwstr>
      </vt:variant>
      <vt:variant>
        <vt:lpwstr/>
      </vt:variant>
      <vt:variant>
        <vt:i4>65540</vt:i4>
      </vt:variant>
      <vt:variant>
        <vt:i4>21</vt:i4>
      </vt:variant>
      <vt:variant>
        <vt:i4>0</vt:i4>
      </vt:variant>
      <vt:variant>
        <vt:i4>5</vt:i4>
      </vt:variant>
      <vt:variant>
        <vt:lpwstr>https://pubmed.ncbi.nlm.nih.gov/34412769/</vt:lpwstr>
      </vt:variant>
      <vt:variant>
        <vt:lpwstr/>
      </vt:variant>
      <vt:variant>
        <vt:i4>2293819</vt:i4>
      </vt:variant>
      <vt:variant>
        <vt:i4>18</vt:i4>
      </vt:variant>
      <vt:variant>
        <vt:i4>0</vt:i4>
      </vt:variant>
      <vt:variant>
        <vt:i4>5</vt:i4>
      </vt:variant>
      <vt:variant>
        <vt:lpwstr>https://opus.lib.uts.edu.au/bitstream/10453/142533/2/internationalstudentsandhousing report ss.com%3A2020%3A08%3Ainternational-students-and-housing-survey-report-final-no-logos-5-aug-2020.pdf</vt:lpwstr>
      </vt:variant>
      <vt:variant>
        <vt:lpwstr/>
      </vt:variant>
      <vt:variant>
        <vt:i4>1835075</vt:i4>
      </vt:variant>
      <vt:variant>
        <vt:i4>15</vt:i4>
      </vt:variant>
      <vt:variant>
        <vt:i4>0</vt:i4>
      </vt:variant>
      <vt:variant>
        <vt:i4>5</vt:i4>
      </vt:variant>
      <vt:variant>
        <vt:lpwstr>https://journals.sagepub.com/doi/pdf/10.1177/0020872820949621</vt:lpwstr>
      </vt:variant>
      <vt:variant>
        <vt:lpwstr/>
      </vt:variant>
      <vt:variant>
        <vt:i4>2097268</vt:i4>
      </vt:variant>
      <vt:variant>
        <vt:i4>12</vt:i4>
      </vt:variant>
      <vt:variant>
        <vt:i4>0</vt:i4>
      </vt:variant>
      <vt:variant>
        <vt:i4>5</vt:i4>
      </vt:variant>
      <vt:variant>
        <vt:lpwstr>https://www.tandfonline.com/doi/full/10.1080/07294360.2020.1825346</vt:lpwstr>
      </vt:variant>
      <vt:variant>
        <vt:lpwstr/>
      </vt:variant>
      <vt:variant>
        <vt:i4>2883639</vt:i4>
      </vt:variant>
      <vt:variant>
        <vt:i4>9</vt:i4>
      </vt:variant>
      <vt:variant>
        <vt:i4>0</vt:i4>
      </vt:variant>
      <vt:variant>
        <vt:i4>5</vt:i4>
      </vt:variant>
      <vt:variant>
        <vt:lpwstr>https://www.tandfonline.com/doi/full/10.1080/1323238X.2021.1901645</vt:lpwstr>
      </vt:variant>
      <vt:variant>
        <vt:lpwstr/>
      </vt:variant>
      <vt:variant>
        <vt:i4>5963857</vt:i4>
      </vt:variant>
      <vt:variant>
        <vt:i4>6</vt:i4>
      </vt:variant>
      <vt:variant>
        <vt:i4>0</vt:i4>
      </vt:variant>
      <vt:variant>
        <vt:i4>5</vt:i4>
      </vt:variant>
      <vt:variant>
        <vt:lpwstr>https://www.education.gov.au/international-education-data-and-research/education-export-income-calendar-year</vt:lpwstr>
      </vt:variant>
      <vt:variant>
        <vt:lpwstr/>
      </vt:variant>
      <vt:variant>
        <vt:i4>2949156</vt:i4>
      </vt:variant>
      <vt:variant>
        <vt:i4>3</vt:i4>
      </vt:variant>
      <vt:variant>
        <vt:i4>0</vt:i4>
      </vt:variant>
      <vt:variant>
        <vt:i4>5</vt:i4>
      </vt:variant>
      <vt:variant>
        <vt:lpwstr>https://app.powerbi.com/view?r=eyJrIjoiODU4MTc3OTAtNDE0My00NGExLTkyMmUtNDk0Yjg5NjAyNmY5IiwidCI6ImRkMGNmZDE1LTQ1NTgtNGIxMi04YmFkLWVhMjY5ODRmYzQxNyJ9</vt:lpwstr>
      </vt:variant>
      <vt:variant>
        <vt:lpwstr/>
      </vt:variant>
      <vt:variant>
        <vt:i4>5111883</vt:i4>
      </vt:variant>
      <vt:variant>
        <vt:i4>0</vt:i4>
      </vt:variant>
      <vt:variant>
        <vt:i4>0</vt:i4>
      </vt:variant>
      <vt:variant>
        <vt:i4>5</vt:i4>
      </vt:variant>
      <vt:variant>
        <vt:lpwstr>https://www.education.gov.au/international-education-data-and-research/international-student-numbers-country-state-and-territory</vt:lpwstr>
      </vt:variant>
      <vt:variant>
        <vt:lpwstr/>
      </vt:variant>
      <vt:variant>
        <vt:i4>6357003</vt:i4>
      </vt:variant>
      <vt:variant>
        <vt:i4>3</vt:i4>
      </vt:variant>
      <vt:variant>
        <vt:i4>0</vt:i4>
      </vt:variant>
      <vt:variant>
        <vt:i4>5</vt:i4>
      </vt:variant>
      <vt:variant>
        <vt:lpwstr>https://s3-ap-southeast-1.amazonaws.com/ap-st01.ext.exlibrisgroup.com/61RMIT_INST/storage/alma/F9/34/B2/09/E9/CB/AF/7A/69/32/D6/88/9D/70/94/4D/Middleton.pdf?response-content-type=application%2Fpdf&amp;X-Amz-Algorithm=AWS4-HMAC-SHA256&amp;X-Amz-Date=20240618T234951Z&amp;X-Amz-SignedHeaders=host&amp;X-Amz-Expires=119&amp;X-Amz-Credential=AKIAJN6NPMNGJALPPWAQ%2F20240618%2Fap-southeast-1%2Fs3%2Faws4_request&amp;X-Amz-Signature=e9767b22709846d22ba1d9b54572b3f71db4d8715388bd11d17b40c242e72ec9</vt:lpwstr>
      </vt:variant>
      <vt:variant>
        <vt:lpwstr/>
      </vt:variant>
      <vt:variant>
        <vt:i4>4653133</vt:i4>
      </vt:variant>
      <vt:variant>
        <vt:i4>0</vt:i4>
      </vt:variant>
      <vt:variant>
        <vt:i4>0</vt:i4>
      </vt:variant>
      <vt:variant>
        <vt:i4>5</vt:i4>
      </vt:variant>
      <vt:variant>
        <vt:lpwstr>https://www.theguardian.com/australia-news/article/2024/may/23/labors-international-student-cap-an-unprecedented-overreach-and-recipe-for-chaos-experts-warn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Murdolo</dc:creator>
  <cp:keywords/>
  <dc:description/>
  <cp:lastModifiedBy>Jasmin Chen</cp:lastModifiedBy>
  <cp:revision>10</cp:revision>
  <cp:lastPrinted>2026-02-17T05:44:00Z</cp:lastPrinted>
  <dcterms:created xsi:type="dcterms:W3CDTF">2025-12-08T01:12:00Z</dcterms:created>
  <dcterms:modified xsi:type="dcterms:W3CDTF">2026-02-17T05:45:00Z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0x01010049FF74230B17054496B744941E65339B</vt:lpwstr>
  </property>
  <property fmtid="{D5CDD505-2E9C-101B-9397-08002B2CF9AE}" pid="3" name="MediaServiceImageTags">
    <vt:lpwstr/>
  </property>
  <property fmtid="{D5CDD505-2E9C-101B-9397-08002B2CF9AE}" pid="4" name="Order">
    <vt:r8>102900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