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28"/>
        <w:ind w:left="0"/>
        <w:rPr>
          <w:rFonts w:ascii="Times New Roman"/>
          <w:sz w:val="20"/>
        </w:rPr>
      </w:pPr>
    </w:p>
    <w:p>
      <w:pPr>
        <w:pStyle w:val="BodyText"/>
        <w:spacing w:after="0"/>
        <w:rPr>
          <w:rFonts w:ascii="Times New Roman"/>
          <w:sz w:val="20"/>
        </w:rPr>
        <w:sectPr>
          <w:footerReference w:type="default" r:id="rId5"/>
          <w:type w:val="continuous"/>
          <w:pgSz w:w="11910" w:h="16840"/>
          <w:pgMar w:header="0" w:footer="891" w:top="0" w:bottom="1080" w:left="0" w:right="0"/>
          <w:pgNumType w:start="1"/>
        </w:sectPr>
      </w:pPr>
    </w:p>
    <w:p>
      <w:pPr>
        <w:pStyle w:val="BodyText"/>
        <w:spacing w:before="4"/>
        <w:ind w:left="0"/>
        <w:rPr>
          <w:rFonts w:ascii="Times New Roman"/>
          <w:sz w:val="8"/>
        </w:rPr>
      </w:pPr>
    </w:p>
    <w:p>
      <w:pPr>
        <w:pStyle w:val="BodyText"/>
        <w:ind w:right="-15"/>
        <w:rPr>
          <w:rFonts w:ascii="Times New Roman"/>
          <w:sz w:val="20"/>
        </w:rPr>
      </w:pPr>
      <w:r>
        <w:rPr>
          <w:rFonts w:ascii="Times New Roman"/>
          <w:sz w:val="20"/>
        </w:rPr>
        <w:drawing>
          <wp:inline distT="0" distB="0" distL="0" distR="0">
            <wp:extent cx="2309798" cy="438912"/>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2309798" cy="438912"/>
                    </a:xfrm>
                    <a:prstGeom prst="rect">
                      <a:avLst/>
                    </a:prstGeom>
                  </pic:spPr>
                </pic:pic>
              </a:graphicData>
            </a:graphic>
          </wp:inline>
        </w:drawing>
      </w:r>
      <w:r>
        <w:rPr>
          <w:rFonts w:ascii="Times New Roman"/>
          <w:sz w:val="20"/>
        </w:rPr>
      </w:r>
    </w:p>
    <w:p>
      <w:pPr>
        <w:pStyle w:val="Heading2"/>
        <w:spacing w:before="316"/>
      </w:pPr>
      <w:r>
        <w:rPr>
          <w:color w:val="333366"/>
        </w:rPr>
        <w:t>Executive</w:t>
      </w:r>
      <w:r>
        <w:rPr>
          <w:color w:val="333366"/>
          <w:spacing w:val="-9"/>
        </w:rPr>
        <w:t> </w:t>
      </w:r>
      <w:r>
        <w:rPr>
          <w:color w:val="333366"/>
          <w:spacing w:val="-2"/>
        </w:rPr>
        <w:t>Summary</w:t>
      </w:r>
    </w:p>
    <w:p>
      <w:pPr>
        <w:pStyle w:val="BodyText"/>
        <w:spacing w:line="276" w:lineRule="auto" w:before="57"/>
        <w:ind w:left="262" w:right="1708"/>
      </w:pPr>
      <w:r>
        <w:rPr/>
        <w:br w:type="column"/>
      </w:r>
      <w:r>
        <w:rPr/>
        <w:t>Multicultural</w:t>
      </w:r>
      <w:r>
        <w:rPr>
          <w:spacing w:val="-5"/>
        </w:rPr>
        <w:t> </w:t>
      </w:r>
      <w:r>
        <w:rPr/>
        <w:t>Centre</w:t>
      </w:r>
      <w:r>
        <w:rPr>
          <w:spacing w:val="-6"/>
        </w:rPr>
        <w:t> </w:t>
      </w:r>
      <w:r>
        <w:rPr/>
        <w:t>for</w:t>
      </w:r>
      <w:r>
        <w:rPr>
          <w:spacing w:val="-7"/>
        </w:rPr>
        <w:t> </w:t>
      </w:r>
      <w:r>
        <w:rPr/>
        <w:t>Women’s</w:t>
      </w:r>
      <w:r>
        <w:rPr>
          <w:spacing w:val="-4"/>
        </w:rPr>
        <w:t> </w:t>
      </w:r>
      <w:r>
        <w:rPr/>
        <w:t>Health</w:t>
      </w:r>
      <w:r>
        <w:rPr>
          <w:spacing w:val="-5"/>
        </w:rPr>
        <w:t> </w:t>
      </w:r>
      <w:r>
        <w:rPr/>
        <w:t>is</w:t>
      </w:r>
      <w:r>
        <w:rPr>
          <w:spacing w:val="-4"/>
        </w:rPr>
        <w:t> </w:t>
      </w:r>
      <w:r>
        <w:rPr/>
        <w:t>a</w:t>
      </w:r>
      <w:r>
        <w:rPr>
          <w:spacing w:val="-7"/>
        </w:rPr>
        <w:t> </w:t>
      </w:r>
      <w:r>
        <w:rPr/>
        <w:t>feminist organisation led by migrant and refugee women to achieve equity in women’s health and wellbeing.</w:t>
      </w:r>
    </w:p>
    <w:p>
      <w:pPr>
        <w:pStyle w:val="BodyText"/>
        <w:spacing w:after="0" w:line="276" w:lineRule="auto"/>
        <w:sectPr>
          <w:type w:val="continuous"/>
          <w:pgSz w:w="11910" w:h="16840"/>
          <w:pgMar w:header="0" w:footer="891" w:top="0" w:bottom="1080" w:left="0" w:right="0"/>
          <w:cols w:num="2" w:equalWidth="0">
            <w:col w:w="5108" w:space="39"/>
            <w:col w:w="6763"/>
          </w:cols>
        </w:sectPr>
      </w:pPr>
    </w:p>
    <w:p>
      <w:pPr>
        <w:pStyle w:val="BodyText"/>
        <w:spacing w:before="177"/>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7560945" cy="2529205"/>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7560945" cy="2529205"/>
                          <a:chExt cx="7560945" cy="2529205"/>
                        </a:xfrm>
                      </wpg:grpSpPr>
                      <pic:pic>
                        <pic:nvPicPr>
                          <pic:cNvPr id="4" name="Image 4"/>
                          <pic:cNvPicPr/>
                        </pic:nvPicPr>
                        <pic:blipFill>
                          <a:blip r:embed="rId7" cstate="print"/>
                          <a:stretch>
                            <a:fillRect/>
                          </a:stretch>
                        </pic:blipFill>
                        <pic:spPr>
                          <a:xfrm>
                            <a:off x="0" y="0"/>
                            <a:ext cx="7560564" cy="2529204"/>
                          </a:xfrm>
                          <a:prstGeom prst="rect">
                            <a:avLst/>
                          </a:prstGeom>
                        </pic:spPr>
                      </pic:pic>
                      <wps:wsp>
                        <wps:cNvPr id="5" name="Textbox 5"/>
                        <wps:cNvSpPr txBox="1"/>
                        <wps:spPr>
                          <a:xfrm>
                            <a:off x="0" y="0"/>
                            <a:ext cx="7560945" cy="2529205"/>
                          </a:xfrm>
                          <a:prstGeom prst="rect">
                            <a:avLst/>
                          </a:prstGeom>
                        </wps:spPr>
                        <wps:txbx>
                          <w:txbxContent>
                            <w:p>
                              <w:pPr>
                                <w:spacing w:line="240" w:lineRule="auto" w:before="0"/>
                                <w:rPr>
                                  <w:sz w:val="40"/>
                                </w:rPr>
                              </w:pPr>
                            </w:p>
                            <w:p>
                              <w:pPr>
                                <w:spacing w:line="240" w:lineRule="auto" w:before="464"/>
                                <w:rPr>
                                  <w:sz w:val="40"/>
                                </w:rPr>
                              </w:pPr>
                            </w:p>
                            <w:p>
                              <w:pPr>
                                <w:spacing w:before="0"/>
                                <w:ind w:left="1440" w:right="0" w:firstLine="0"/>
                                <w:jc w:val="left"/>
                                <w:rPr>
                                  <w:rFonts w:ascii="Segoe UI" w:hAnsi="Segoe UI"/>
                                  <w:sz w:val="40"/>
                                </w:rPr>
                              </w:pPr>
                              <w:r>
                                <w:rPr>
                                  <w:rFonts w:ascii="Segoe UI" w:hAnsi="Segoe UI"/>
                                  <w:color w:val="FFFFFF"/>
                                  <w:spacing w:val="-10"/>
                                  <w:sz w:val="40"/>
                                </w:rPr>
                                <w:t>Submission</w:t>
                              </w:r>
                              <w:r>
                                <w:rPr>
                                  <w:rFonts w:ascii="Segoe UI" w:hAnsi="Segoe UI"/>
                                  <w:color w:val="FFFFFF"/>
                                  <w:spacing w:val="-13"/>
                                  <w:sz w:val="40"/>
                                </w:rPr>
                                <w:t> </w:t>
                              </w:r>
                              <w:r>
                                <w:rPr>
                                  <w:rFonts w:ascii="Segoe UI" w:hAnsi="Segoe UI"/>
                                  <w:color w:val="FFFFFF"/>
                                  <w:spacing w:val="-10"/>
                                  <w:sz w:val="40"/>
                                </w:rPr>
                                <w:t>to</w:t>
                              </w:r>
                              <w:r>
                                <w:rPr>
                                  <w:rFonts w:ascii="Segoe UI" w:hAnsi="Segoe UI"/>
                                  <w:color w:val="FFFFFF"/>
                                  <w:spacing w:val="-14"/>
                                  <w:sz w:val="40"/>
                                </w:rPr>
                                <w:t> </w:t>
                              </w:r>
                              <w:r>
                                <w:rPr>
                                  <w:rFonts w:ascii="Segoe UI" w:hAnsi="Segoe UI"/>
                                  <w:color w:val="FFFFFF"/>
                                  <w:spacing w:val="-10"/>
                                  <w:sz w:val="40"/>
                                </w:rPr>
                                <w:t>the</w:t>
                              </w:r>
                              <w:r>
                                <w:rPr>
                                  <w:rFonts w:ascii="Segoe UI" w:hAnsi="Segoe UI"/>
                                  <w:color w:val="FFFFFF"/>
                                  <w:spacing w:val="-14"/>
                                  <w:sz w:val="40"/>
                                </w:rPr>
                                <w:t> </w:t>
                              </w:r>
                              <w:r>
                                <w:rPr>
                                  <w:rFonts w:ascii="Segoe UI" w:hAnsi="Segoe UI"/>
                                  <w:color w:val="FFFFFF"/>
                                  <w:spacing w:val="-10"/>
                                  <w:sz w:val="40"/>
                                </w:rPr>
                                <w:t>Inquiry</w:t>
                              </w:r>
                              <w:r>
                                <w:rPr>
                                  <w:rFonts w:ascii="Segoe UI" w:hAnsi="Segoe UI"/>
                                  <w:color w:val="FFFFFF"/>
                                  <w:spacing w:val="-12"/>
                                  <w:sz w:val="40"/>
                                </w:rPr>
                                <w:t> </w:t>
                              </w:r>
                              <w:r>
                                <w:rPr>
                                  <w:rFonts w:ascii="Segoe UI" w:hAnsi="Segoe UI"/>
                                  <w:color w:val="FFFFFF"/>
                                  <w:spacing w:val="-10"/>
                                  <w:sz w:val="40"/>
                                </w:rPr>
                                <w:t>into</w:t>
                              </w:r>
                              <w:r>
                                <w:rPr>
                                  <w:rFonts w:ascii="Segoe UI" w:hAnsi="Segoe UI"/>
                                  <w:color w:val="FFFFFF"/>
                                  <w:spacing w:val="-14"/>
                                  <w:sz w:val="40"/>
                                </w:rPr>
                                <w:t> </w:t>
                              </w:r>
                              <w:r>
                                <w:rPr>
                                  <w:rFonts w:ascii="Segoe UI" w:hAnsi="Segoe UI"/>
                                  <w:color w:val="FFFFFF"/>
                                  <w:spacing w:val="-10"/>
                                  <w:sz w:val="40"/>
                                </w:rPr>
                                <w:t>the</w:t>
                              </w:r>
                              <w:r>
                                <w:rPr>
                                  <w:rFonts w:ascii="Segoe UI" w:hAnsi="Segoe UI"/>
                                  <w:color w:val="FFFFFF"/>
                                  <w:spacing w:val="-13"/>
                                  <w:sz w:val="40"/>
                                </w:rPr>
                                <w:t> </w:t>
                              </w:r>
                              <w:r>
                                <w:rPr>
                                  <w:rFonts w:ascii="Segoe UI" w:hAnsi="Segoe UI"/>
                                  <w:color w:val="FFFFFF"/>
                                  <w:spacing w:val="-10"/>
                                  <w:sz w:val="40"/>
                                </w:rPr>
                                <w:t>redevelopment</w:t>
                              </w:r>
                              <w:r>
                                <w:rPr>
                                  <w:rFonts w:ascii="Segoe UI" w:hAnsi="Segoe UI"/>
                                  <w:color w:val="FFFFFF"/>
                                  <w:spacing w:val="-14"/>
                                  <w:sz w:val="40"/>
                                </w:rPr>
                                <w:t> </w:t>
                              </w:r>
                              <w:r>
                                <w:rPr>
                                  <w:rFonts w:ascii="Segoe UI" w:hAnsi="Segoe UI"/>
                                  <w:color w:val="FFFFFF"/>
                                  <w:spacing w:val="-10"/>
                                  <w:sz w:val="40"/>
                                </w:rPr>
                                <w:t>of </w:t>
                              </w:r>
                              <w:r>
                                <w:rPr>
                                  <w:rFonts w:ascii="Segoe UI" w:hAnsi="Segoe UI"/>
                                  <w:color w:val="FFFFFF"/>
                                  <w:spacing w:val="-4"/>
                                  <w:sz w:val="40"/>
                                </w:rPr>
                                <w:t>Melbourne’s</w:t>
                              </w:r>
                              <w:r>
                                <w:rPr>
                                  <w:rFonts w:ascii="Segoe UI" w:hAnsi="Segoe UI"/>
                                  <w:color w:val="FFFFFF"/>
                                  <w:spacing w:val="-17"/>
                                  <w:sz w:val="40"/>
                                </w:rPr>
                                <w:t> </w:t>
                              </w:r>
                              <w:r>
                                <w:rPr>
                                  <w:rFonts w:ascii="Segoe UI" w:hAnsi="Segoe UI"/>
                                  <w:color w:val="FFFFFF"/>
                                  <w:spacing w:val="-4"/>
                                  <w:sz w:val="40"/>
                                </w:rPr>
                                <w:t>public</w:t>
                              </w:r>
                              <w:r>
                                <w:rPr>
                                  <w:rFonts w:ascii="Segoe UI" w:hAnsi="Segoe UI"/>
                                  <w:color w:val="FFFFFF"/>
                                  <w:spacing w:val="-17"/>
                                  <w:sz w:val="40"/>
                                </w:rPr>
                                <w:t> </w:t>
                              </w:r>
                              <w:r>
                                <w:rPr>
                                  <w:rFonts w:ascii="Segoe UI" w:hAnsi="Segoe UI"/>
                                  <w:color w:val="FFFFFF"/>
                                  <w:spacing w:val="-4"/>
                                  <w:sz w:val="40"/>
                                </w:rPr>
                                <w:t>housing</w:t>
                              </w:r>
                              <w:r>
                                <w:rPr>
                                  <w:rFonts w:ascii="Segoe UI" w:hAnsi="Segoe UI"/>
                                  <w:color w:val="FFFFFF"/>
                                  <w:spacing w:val="-18"/>
                                  <w:sz w:val="40"/>
                                </w:rPr>
                                <w:t> </w:t>
                              </w:r>
                              <w:r>
                                <w:rPr>
                                  <w:rFonts w:ascii="Segoe UI" w:hAnsi="Segoe UI"/>
                                  <w:color w:val="FFFFFF"/>
                                  <w:spacing w:val="-4"/>
                                  <w:sz w:val="40"/>
                                </w:rPr>
                                <w:t>towers</w:t>
                              </w:r>
                            </w:p>
                            <w:p>
                              <w:pPr>
                                <w:spacing w:before="239"/>
                                <w:ind w:left="1440" w:right="0" w:firstLine="0"/>
                                <w:jc w:val="left"/>
                                <w:rPr>
                                  <w:rFonts w:ascii="Segoe UI" w:hAnsi="Segoe UI"/>
                                  <w:b/>
                                  <w:sz w:val="32"/>
                                </w:rPr>
                              </w:pPr>
                              <w:r>
                                <w:rPr>
                                  <w:rFonts w:ascii="Segoe UI" w:hAnsi="Segoe UI"/>
                                  <w:b/>
                                  <w:color w:val="FFFFFF"/>
                                  <w:sz w:val="32"/>
                                </w:rPr>
                                <w:t>Prepared</w:t>
                              </w:r>
                              <w:r>
                                <w:rPr>
                                  <w:rFonts w:ascii="Segoe UI" w:hAnsi="Segoe UI"/>
                                  <w:b/>
                                  <w:color w:val="FFFFFF"/>
                                  <w:spacing w:val="-12"/>
                                  <w:sz w:val="32"/>
                                </w:rPr>
                                <w:t> </w:t>
                              </w:r>
                              <w:r>
                                <w:rPr>
                                  <w:rFonts w:ascii="Segoe UI" w:hAnsi="Segoe UI"/>
                                  <w:b/>
                                  <w:color w:val="FFFFFF"/>
                                  <w:sz w:val="32"/>
                                </w:rPr>
                                <w:t>by</w:t>
                              </w:r>
                              <w:r>
                                <w:rPr>
                                  <w:rFonts w:ascii="Segoe UI" w:hAnsi="Segoe UI"/>
                                  <w:b/>
                                  <w:color w:val="FFFFFF"/>
                                  <w:spacing w:val="-9"/>
                                  <w:sz w:val="32"/>
                                </w:rPr>
                                <w:t> </w:t>
                              </w:r>
                              <w:r>
                                <w:rPr>
                                  <w:rFonts w:ascii="Segoe UI" w:hAnsi="Segoe UI"/>
                                  <w:b/>
                                  <w:color w:val="FFFFFF"/>
                                  <w:sz w:val="32"/>
                                </w:rPr>
                                <w:t>the</w:t>
                              </w:r>
                              <w:r>
                                <w:rPr>
                                  <w:rFonts w:ascii="Segoe UI" w:hAnsi="Segoe UI"/>
                                  <w:b/>
                                  <w:color w:val="FFFFFF"/>
                                  <w:spacing w:val="-9"/>
                                  <w:sz w:val="32"/>
                                </w:rPr>
                                <w:t> </w:t>
                              </w:r>
                              <w:r>
                                <w:rPr>
                                  <w:rFonts w:ascii="Segoe UI" w:hAnsi="Segoe UI"/>
                                  <w:b/>
                                  <w:color w:val="FFFFFF"/>
                                  <w:sz w:val="32"/>
                                </w:rPr>
                                <w:t>Multicultural</w:t>
                              </w:r>
                              <w:r>
                                <w:rPr>
                                  <w:rFonts w:ascii="Segoe UI" w:hAnsi="Segoe UI"/>
                                  <w:b/>
                                  <w:color w:val="FFFFFF"/>
                                  <w:spacing w:val="-13"/>
                                  <w:sz w:val="32"/>
                                </w:rPr>
                                <w:t> </w:t>
                              </w:r>
                              <w:r>
                                <w:rPr>
                                  <w:rFonts w:ascii="Segoe UI" w:hAnsi="Segoe UI"/>
                                  <w:b/>
                                  <w:color w:val="FFFFFF"/>
                                  <w:sz w:val="32"/>
                                </w:rPr>
                                <w:t>Centre</w:t>
                              </w:r>
                              <w:r>
                                <w:rPr>
                                  <w:rFonts w:ascii="Segoe UI" w:hAnsi="Segoe UI"/>
                                  <w:b/>
                                  <w:color w:val="FFFFFF"/>
                                  <w:spacing w:val="-10"/>
                                  <w:sz w:val="32"/>
                                </w:rPr>
                                <w:t> </w:t>
                              </w:r>
                              <w:r>
                                <w:rPr>
                                  <w:rFonts w:ascii="Segoe UI" w:hAnsi="Segoe UI"/>
                                  <w:b/>
                                  <w:color w:val="FFFFFF"/>
                                  <w:sz w:val="32"/>
                                </w:rPr>
                                <w:t>for</w:t>
                              </w:r>
                              <w:r>
                                <w:rPr>
                                  <w:rFonts w:ascii="Segoe UI" w:hAnsi="Segoe UI"/>
                                  <w:b/>
                                  <w:color w:val="FFFFFF"/>
                                  <w:spacing w:val="-11"/>
                                  <w:sz w:val="32"/>
                                </w:rPr>
                                <w:t> </w:t>
                              </w:r>
                              <w:r>
                                <w:rPr>
                                  <w:rFonts w:ascii="Segoe UI" w:hAnsi="Segoe UI"/>
                                  <w:b/>
                                  <w:color w:val="FFFFFF"/>
                                  <w:sz w:val="32"/>
                                </w:rPr>
                                <w:t>Women’s</w:t>
                              </w:r>
                              <w:r>
                                <w:rPr>
                                  <w:rFonts w:ascii="Segoe UI" w:hAnsi="Segoe UI"/>
                                  <w:b/>
                                  <w:color w:val="FFFFFF"/>
                                  <w:spacing w:val="-11"/>
                                  <w:sz w:val="32"/>
                                </w:rPr>
                                <w:t> </w:t>
                              </w:r>
                              <w:r>
                                <w:rPr>
                                  <w:rFonts w:ascii="Segoe UI" w:hAnsi="Segoe UI"/>
                                  <w:b/>
                                  <w:color w:val="FFFFFF"/>
                                  <w:spacing w:val="-2"/>
                                  <w:sz w:val="32"/>
                                </w:rPr>
                                <w:t>Health</w:t>
                              </w:r>
                            </w:p>
                            <w:p>
                              <w:pPr>
                                <w:spacing w:before="131"/>
                                <w:ind w:left="1440" w:right="0" w:firstLine="0"/>
                                <w:jc w:val="left"/>
                                <w:rPr>
                                  <w:sz w:val="28"/>
                                </w:rPr>
                              </w:pPr>
                              <w:r>
                                <w:rPr>
                                  <w:color w:val="FFFFFF"/>
                                  <w:spacing w:val="-2"/>
                                  <w:sz w:val="28"/>
                                </w:rPr>
                                <w:t>March</w:t>
                              </w:r>
                              <w:r>
                                <w:rPr>
                                  <w:color w:val="FFFFFF"/>
                                  <w:spacing w:val="-14"/>
                                  <w:sz w:val="28"/>
                                </w:rPr>
                                <w:t> </w:t>
                              </w:r>
                              <w:r>
                                <w:rPr>
                                  <w:color w:val="FFFFFF"/>
                                  <w:spacing w:val="-4"/>
                                  <w:sz w:val="28"/>
                                </w:rPr>
                                <w:t>2025</w:t>
                              </w:r>
                            </w:p>
                          </w:txbxContent>
                        </wps:txbx>
                        <wps:bodyPr wrap="square" lIns="0" tIns="0" rIns="0" bIns="0" rtlCol="0">
                          <a:noAutofit/>
                        </wps:bodyPr>
                      </wps:wsp>
                    </wpg:wgp>
                  </a:graphicData>
                </a:graphic>
              </wp:anchor>
            </w:drawing>
          </mc:Choice>
          <mc:Fallback>
            <w:pict>
              <v:group style="position:absolute;margin-left:.000009pt;margin-top:-.000017pt;width:595.35pt;height:199.15pt;mso-position-horizontal-relative:page;mso-position-vertical-relative:page;z-index:15729152" id="docshapegroup2" coordorigin="0,0" coordsize="11907,3983">
                <v:shape style="position:absolute;left:0;top:0;width:11907;height:3983" type="#_x0000_t75" id="docshape3" stroked="false">
                  <v:imagedata r:id="rId7" o:title=""/>
                </v:shape>
                <v:shape style="position:absolute;left:0;top:0;width:11907;height:3983" type="#_x0000_t202" id="docshape4" filled="false" stroked="false">
                  <v:textbox inset="0,0,0,0">
                    <w:txbxContent>
                      <w:p>
                        <w:pPr>
                          <w:spacing w:line="240" w:lineRule="auto" w:before="0"/>
                          <w:rPr>
                            <w:sz w:val="40"/>
                          </w:rPr>
                        </w:pPr>
                      </w:p>
                      <w:p>
                        <w:pPr>
                          <w:spacing w:line="240" w:lineRule="auto" w:before="464"/>
                          <w:rPr>
                            <w:sz w:val="40"/>
                          </w:rPr>
                        </w:pPr>
                      </w:p>
                      <w:p>
                        <w:pPr>
                          <w:spacing w:before="0"/>
                          <w:ind w:left="1440" w:right="0" w:firstLine="0"/>
                          <w:jc w:val="left"/>
                          <w:rPr>
                            <w:rFonts w:ascii="Segoe UI" w:hAnsi="Segoe UI"/>
                            <w:sz w:val="40"/>
                          </w:rPr>
                        </w:pPr>
                        <w:r>
                          <w:rPr>
                            <w:rFonts w:ascii="Segoe UI" w:hAnsi="Segoe UI"/>
                            <w:color w:val="FFFFFF"/>
                            <w:spacing w:val="-10"/>
                            <w:sz w:val="40"/>
                          </w:rPr>
                          <w:t>Submission</w:t>
                        </w:r>
                        <w:r>
                          <w:rPr>
                            <w:rFonts w:ascii="Segoe UI" w:hAnsi="Segoe UI"/>
                            <w:color w:val="FFFFFF"/>
                            <w:spacing w:val="-13"/>
                            <w:sz w:val="40"/>
                          </w:rPr>
                          <w:t> </w:t>
                        </w:r>
                        <w:r>
                          <w:rPr>
                            <w:rFonts w:ascii="Segoe UI" w:hAnsi="Segoe UI"/>
                            <w:color w:val="FFFFFF"/>
                            <w:spacing w:val="-10"/>
                            <w:sz w:val="40"/>
                          </w:rPr>
                          <w:t>to</w:t>
                        </w:r>
                        <w:r>
                          <w:rPr>
                            <w:rFonts w:ascii="Segoe UI" w:hAnsi="Segoe UI"/>
                            <w:color w:val="FFFFFF"/>
                            <w:spacing w:val="-14"/>
                            <w:sz w:val="40"/>
                          </w:rPr>
                          <w:t> </w:t>
                        </w:r>
                        <w:r>
                          <w:rPr>
                            <w:rFonts w:ascii="Segoe UI" w:hAnsi="Segoe UI"/>
                            <w:color w:val="FFFFFF"/>
                            <w:spacing w:val="-10"/>
                            <w:sz w:val="40"/>
                          </w:rPr>
                          <w:t>the</w:t>
                        </w:r>
                        <w:r>
                          <w:rPr>
                            <w:rFonts w:ascii="Segoe UI" w:hAnsi="Segoe UI"/>
                            <w:color w:val="FFFFFF"/>
                            <w:spacing w:val="-14"/>
                            <w:sz w:val="40"/>
                          </w:rPr>
                          <w:t> </w:t>
                        </w:r>
                        <w:r>
                          <w:rPr>
                            <w:rFonts w:ascii="Segoe UI" w:hAnsi="Segoe UI"/>
                            <w:color w:val="FFFFFF"/>
                            <w:spacing w:val="-10"/>
                            <w:sz w:val="40"/>
                          </w:rPr>
                          <w:t>Inquiry</w:t>
                        </w:r>
                        <w:r>
                          <w:rPr>
                            <w:rFonts w:ascii="Segoe UI" w:hAnsi="Segoe UI"/>
                            <w:color w:val="FFFFFF"/>
                            <w:spacing w:val="-12"/>
                            <w:sz w:val="40"/>
                          </w:rPr>
                          <w:t> </w:t>
                        </w:r>
                        <w:r>
                          <w:rPr>
                            <w:rFonts w:ascii="Segoe UI" w:hAnsi="Segoe UI"/>
                            <w:color w:val="FFFFFF"/>
                            <w:spacing w:val="-10"/>
                            <w:sz w:val="40"/>
                          </w:rPr>
                          <w:t>into</w:t>
                        </w:r>
                        <w:r>
                          <w:rPr>
                            <w:rFonts w:ascii="Segoe UI" w:hAnsi="Segoe UI"/>
                            <w:color w:val="FFFFFF"/>
                            <w:spacing w:val="-14"/>
                            <w:sz w:val="40"/>
                          </w:rPr>
                          <w:t> </w:t>
                        </w:r>
                        <w:r>
                          <w:rPr>
                            <w:rFonts w:ascii="Segoe UI" w:hAnsi="Segoe UI"/>
                            <w:color w:val="FFFFFF"/>
                            <w:spacing w:val="-10"/>
                            <w:sz w:val="40"/>
                          </w:rPr>
                          <w:t>the</w:t>
                        </w:r>
                        <w:r>
                          <w:rPr>
                            <w:rFonts w:ascii="Segoe UI" w:hAnsi="Segoe UI"/>
                            <w:color w:val="FFFFFF"/>
                            <w:spacing w:val="-13"/>
                            <w:sz w:val="40"/>
                          </w:rPr>
                          <w:t> </w:t>
                        </w:r>
                        <w:r>
                          <w:rPr>
                            <w:rFonts w:ascii="Segoe UI" w:hAnsi="Segoe UI"/>
                            <w:color w:val="FFFFFF"/>
                            <w:spacing w:val="-10"/>
                            <w:sz w:val="40"/>
                          </w:rPr>
                          <w:t>redevelopment</w:t>
                        </w:r>
                        <w:r>
                          <w:rPr>
                            <w:rFonts w:ascii="Segoe UI" w:hAnsi="Segoe UI"/>
                            <w:color w:val="FFFFFF"/>
                            <w:spacing w:val="-14"/>
                            <w:sz w:val="40"/>
                          </w:rPr>
                          <w:t> </w:t>
                        </w:r>
                        <w:r>
                          <w:rPr>
                            <w:rFonts w:ascii="Segoe UI" w:hAnsi="Segoe UI"/>
                            <w:color w:val="FFFFFF"/>
                            <w:spacing w:val="-10"/>
                            <w:sz w:val="40"/>
                          </w:rPr>
                          <w:t>of </w:t>
                        </w:r>
                        <w:r>
                          <w:rPr>
                            <w:rFonts w:ascii="Segoe UI" w:hAnsi="Segoe UI"/>
                            <w:color w:val="FFFFFF"/>
                            <w:spacing w:val="-4"/>
                            <w:sz w:val="40"/>
                          </w:rPr>
                          <w:t>Melbourne’s</w:t>
                        </w:r>
                        <w:r>
                          <w:rPr>
                            <w:rFonts w:ascii="Segoe UI" w:hAnsi="Segoe UI"/>
                            <w:color w:val="FFFFFF"/>
                            <w:spacing w:val="-17"/>
                            <w:sz w:val="40"/>
                          </w:rPr>
                          <w:t> </w:t>
                        </w:r>
                        <w:r>
                          <w:rPr>
                            <w:rFonts w:ascii="Segoe UI" w:hAnsi="Segoe UI"/>
                            <w:color w:val="FFFFFF"/>
                            <w:spacing w:val="-4"/>
                            <w:sz w:val="40"/>
                          </w:rPr>
                          <w:t>public</w:t>
                        </w:r>
                        <w:r>
                          <w:rPr>
                            <w:rFonts w:ascii="Segoe UI" w:hAnsi="Segoe UI"/>
                            <w:color w:val="FFFFFF"/>
                            <w:spacing w:val="-17"/>
                            <w:sz w:val="40"/>
                          </w:rPr>
                          <w:t> </w:t>
                        </w:r>
                        <w:r>
                          <w:rPr>
                            <w:rFonts w:ascii="Segoe UI" w:hAnsi="Segoe UI"/>
                            <w:color w:val="FFFFFF"/>
                            <w:spacing w:val="-4"/>
                            <w:sz w:val="40"/>
                          </w:rPr>
                          <w:t>housing</w:t>
                        </w:r>
                        <w:r>
                          <w:rPr>
                            <w:rFonts w:ascii="Segoe UI" w:hAnsi="Segoe UI"/>
                            <w:color w:val="FFFFFF"/>
                            <w:spacing w:val="-18"/>
                            <w:sz w:val="40"/>
                          </w:rPr>
                          <w:t> </w:t>
                        </w:r>
                        <w:r>
                          <w:rPr>
                            <w:rFonts w:ascii="Segoe UI" w:hAnsi="Segoe UI"/>
                            <w:color w:val="FFFFFF"/>
                            <w:spacing w:val="-4"/>
                            <w:sz w:val="40"/>
                          </w:rPr>
                          <w:t>towers</w:t>
                        </w:r>
                      </w:p>
                      <w:p>
                        <w:pPr>
                          <w:spacing w:before="239"/>
                          <w:ind w:left="1440" w:right="0" w:firstLine="0"/>
                          <w:jc w:val="left"/>
                          <w:rPr>
                            <w:rFonts w:ascii="Segoe UI" w:hAnsi="Segoe UI"/>
                            <w:b/>
                            <w:sz w:val="32"/>
                          </w:rPr>
                        </w:pPr>
                        <w:r>
                          <w:rPr>
                            <w:rFonts w:ascii="Segoe UI" w:hAnsi="Segoe UI"/>
                            <w:b/>
                            <w:color w:val="FFFFFF"/>
                            <w:sz w:val="32"/>
                          </w:rPr>
                          <w:t>Prepared</w:t>
                        </w:r>
                        <w:r>
                          <w:rPr>
                            <w:rFonts w:ascii="Segoe UI" w:hAnsi="Segoe UI"/>
                            <w:b/>
                            <w:color w:val="FFFFFF"/>
                            <w:spacing w:val="-12"/>
                            <w:sz w:val="32"/>
                          </w:rPr>
                          <w:t> </w:t>
                        </w:r>
                        <w:r>
                          <w:rPr>
                            <w:rFonts w:ascii="Segoe UI" w:hAnsi="Segoe UI"/>
                            <w:b/>
                            <w:color w:val="FFFFFF"/>
                            <w:sz w:val="32"/>
                          </w:rPr>
                          <w:t>by</w:t>
                        </w:r>
                        <w:r>
                          <w:rPr>
                            <w:rFonts w:ascii="Segoe UI" w:hAnsi="Segoe UI"/>
                            <w:b/>
                            <w:color w:val="FFFFFF"/>
                            <w:spacing w:val="-9"/>
                            <w:sz w:val="32"/>
                          </w:rPr>
                          <w:t> </w:t>
                        </w:r>
                        <w:r>
                          <w:rPr>
                            <w:rFonts w:ascii="Segoe UI" w:hAnsi="Segoe UI"/>
                            <w:b/>
                            <w:color w:val="FFFFFF"/>
                            <w:sz w:val="32"/>
                          </w:rPr>
                          <w:t>the</w:t>
                        </w:r>
                        <w:r>
                          <w:rPr>
                            <w:rFonts w:ascii="Segoe UI" w:hAnsi="Segoe UI"/>
                            <w:b/>
                            <w:color w:val="FFFFFF"/>
                            <w:spacing w:val="-9"/>
                            <w:sz w:val="32"/>
                          </w:rPr>
                          <w:t> </w:t>
                        </w:r>
                        <w:r>
                          <w:rPr>
                            <w:rFonts w:ascii="Segoe UI" w:hAnsi="Segoe UI"/>
                            <w:b/>
                            <w:color w:val="FFFFFF"/>
                            <w:sz w:val="32"/>
                          </w:rPr>
                          <w:t>Multicultural</w:t>
                        </w:r>
                        <w:r>
                          <w:rPr>
                            <w:rFonts w:ascii="Segoe UI" w:hAnsi="Segoe UI"/>
                            <w:b/>
                            <w:color w:val="FFFFFF"/>
                            <w:spacing w:val="-13"/>
                            <w:sz w:val="32"/>
                          </w:rPr>
                          <w:t> </w:t>
                        </w:r>
                        <w:r>
                          <w:rPr>
                            <w:rFonts w:ascii="Segoe UI" w:hAnsi="Segoe UI"/>
                            <w:b/>
                            <w:color w:val="FFFFFF"/>
                            <w:sz w:val="32"/>
                          </w:rPr>
                          <w:t>Centre</w:t>
                        </w:r>
                        <w:r>
                          <w:rPr>
                            <w:rFonts w:ascii="Segoe UI" w:hAnsi="Segoe UI"/>
                            <w:b/>
                            <w:color w:val="FFFFFF"/>
                            <w:spacing w:val="-10"/>
                            <w:sz w:val="32"/>
                          </w:rPr>
                          <w:t> </w:t>
                        </w:r>
                        <w:r>
                          <w:rPr>
                            <w:rFonts w:ascii="Segoe UI" w:hAnsi="Segoe UI"/>
                            <w:b/>
                            <w:color w:val="FFFFFF"/>
                            <w:sz w:val="32"/>
                          </w:rPr>
                          <w:t>for</w:t>
                        </w:r>
                        <w:r>
                          <w:rPr>
                            <w:rFonts w:ascii="Segoe UI" w:hAnsi="Segoe UI"/>
                            <w:b/>
                            <w:color w:val="FFFFFF"/>
                            <w:spacing w:val="-11"/>
                            <w:sz w:val="32"/>
                          </w:rPr>
                          <w:t> </w:t>
                        </w:r>
                        <w:r>
                          <w:rPr>
                            <w:rFonts w:ascii="Segoe UI" w:hAnsi="Segoe UI"/>
                            <w:b/>
                            <w:color w:val="FFFFFF"/>
                            <w:sz w:val="32"/>
                          </w:rPr>
                          <w:t>Women’s</w:t>
                        </w:r>
                        <w:r>
                          <w:rPr>
                            <w:rFonts w:ascii="Segoe UI" w:hAnsi="Segoe UI"/>
                            <w:b/>
                            <w:color w:val="FFFFFF"/>
                            <w:spacing w:val="-11"/>
                            <w:sz w:val="32"/>
                          </w:rPr>
                          <w:t> </w:t>
                        </w:r>
                        <w:r>
                          <w:rPr>
                            <w:rFonts w:ascii="Segoe UI" w:hAnsi="Segoe UI"/>
                            <w:b/>
                            <w:color w:val="FFFFFF"/>
                            <w:spacing w:val="-2"/>
                            <w:sz w:val="32"/>
                          </w:rPr>
                          <w:t>Health</w:t>
                        </w:r>
                      </w:p>
                      <w:p>
                        <w:pPr>
                          <w:spacing w:before="131"/>
                          <w:ind w:left="1440" w:right="0" w:firstLine="0"/>
                          <w:jc w:val="left"/>
                          <w:rPr>
                            <w:sz w:val="28"/>
                          </w:rPr>
                        </w:pPr>
                        <w:r>
                          <w:rPr>
                            <w:color w:val="FFFFFF"/>
                            <w:spacing w:val="-2"/>
                            <w:sz w:val="28"/>
                          </w:rPr>
                          <w:t>March</w:t>
                        </w:r>
                        <w:r>
                          <w:rPr>
                            <w:color w:val="FFFFFF"/>
                            <w:spacing w:val="-14"/>
                            <w:sz w:val="28"/>
                          </w:rPr>
                          <w:t> </w:t>
                        </w:r>
                        <w:r>
                          <w:rPr>
                            <w:color w:val="FFFFFF"/>
                            <w:spacing w:val="-4"/>
                            <w:sz w:val="28"/>
                          </w:rPr>
                          <w:t>2025</w:t>
                        </w:r>
                      </w:p>
                    </w:txbxContent>
                  </v:textbox>
                  <w10:wrap type="none"/>
                </v:shape>
                <w10:wrap type="none"/>
              </v:group>
            </w:pict>
          </mc:Fallback>
        </mc:AlternateContent>
      </w:r>
      <w:r>
        <w:rPr/>
        <w:t>This</w:t>
      </w:r>
      <w:r>
        <w:rPr>
          <w:spacing w:val="-4"/>
        </w:rPr>
        <w:t> </w:t>
      </w:r>
      <w:r>
        <w:rPr/>
        <w:t>submission</w:t>
      </w:r>
      <w:r>
        <w:rPr>
          <w:spacing w:val="-5"/>
        </w:rPr>
        <w:t> </w:t>
      </w:r>
      <w:r>
        <w:rPr/>
        <w:t>has</w:t>
      </w:r>
      <w:r>
        <w:rPr>
          <w:spacing w:val="-4"/>
        </w:rPr>
        <w:t> </w:t>
      </w:r>
      <w:r>
        <w:rPr/>
        <w:t>been</w:t>
      </w:r>
      <w:r>
        <w:rPr>
          <w:spacing w:val="-5"/>
        </w:rPr>
        <w:t> </w:t>
      </w:r>
      <w:r>
        <w:rPr/>
        <w:t>developed</w:t>
      </w:r>
      <w:r>
        <w:rPr>
          <w:spacing w:val="-4"/>
        </w:rPr>
        <w:t> </w:t>
      </w:r>
      <w:r>
        <w:rPr/>
        <w:t>by</w:t>
      </w:r>
      <w:r>
        <w:rPr>
          <w:spacing w:val="-4"/>
        </w:rPr>
        <w:t> </w:t>
      </w:r>
      <w:r>
        <w:rPr/>
        <w:t>the</w:t>
      </w:r>
      <w:r>
        <w:rPr>
          <w:spacing w:val="-6"/>
        </w:rPr>
        <w:t> </w:t>
      </w:r>
      <w:r>
        <w:rPr/>
        <w:t>Multicultural</w:t>
      </w:r>
      <w:r>
        <w:rPr>
          <w:spacing w:val="-4"/>
        </w:rPr>
        <w:t> </w:t>
      </w:r>
      <w:r>
        <w:rPr/>
        <w:t>Centre</w:t>
      </w:r>
      <w:r>
        <w:rPr>
          <w:spacing w:val="-6"/>
        </w:rPr>
        <w:t> </w:t>
      </w:r>
      <w:r>
        <w:rPr/>
        <w:t>for</w:t>
      </w:r>
      <w:r>
        <w:rPr>
          <w:spacing w:val="-7"/>
        </w:rPr>
        <w:t> </w:t>
      </w:r>
      <w:r>
        <w:rPr/>
        <w:t>Women’s</w:t>
      </w:r>
      <w:r>
        <w:rPr>
          <w:spacing w:val="-4"/>
        </w:rPr>
        <w:t> </w:t>
      </w:r>
      <w:r>
        <w:rPr/>
        <w:t>Health</w:t>
      </w:r>
      <w:r>
        <w:rPr>
          <w:spacing w:val="-5"/>
        </w:rPr>
        <w:t> </w:t>
      </w:r>
      <w:r>
        <w:rPr/>
        <w:t>(MCWH),</w:t>
      </w:r>
      <w:r>
        <w:rPr>
          <w:spacing w:val="-3"/>
        </w:rPr>
        <w:t> </w:t>
      </w:r>
      <w:r>
        <w:rPr>
          <w:spacing w:val="-10"/>
        </w:rPr>
        <w:t>a</w:t>
      </w:r>
    </w:p>
    <w:p>
      <w:pPr>
        <w:pStyle w:val="BodyText"/>
        <w:spacing w:line="276" w:lineRule="auto" w:before="38"/>
        <w:ind w:right="1547"/>
      </w:pPr>
      <w:r>
        <w:rPr/>
        <w:t>Victorian</w:t>
      </w:r>
      <w:r>
        <w:rPr>
          <w:spacing w:val="-5"/>
        </w:rPr>
        <w:t> </w:t>
      </w:r>
      <w:r>
        <w:rPr/>
        <w:t>women’s</w:t>
      </w:r>
      <w:r>
        <w:rPr>
          <w:spacing w:val="-2"/>
        </w:rPr>
        <w:t> </w:t>
      </w:r>
      <w:r>
        <w:rPr/>
        <w:t>health</w:t>
      </w:r>
      <w:r>
        <w:rPr>
          <w:spacing w:val="-2"/>
        </w:rPr>
        <w:t> </w:t>
      </w:r>
      <w:r>
        <w:rPr/>
        <w:t>service</w:t>
      </w:r>
      <w:r>
        <w:rPr>
          <w:spacing w:val="-2"/>
        </w:rPr>
        <w:t> </w:t>
      </w:r>
      <w:r>
        <w:rPr/>
        <w:t>established</w:t>
      </w:r>
      <w:r>
        <w:rPr>
          <w:spacing w:val="-2"/>
        </w:rPr>
        <w:t> </w:t>
      </w:r>
      <w:r>
        <w:rPr/>
        <w:t>in</w:t>
      </w:r>
      <w:r>
        <w:rPr>
          <w:spacing w:val="-5"/>
        </w:rPr>
        <w:t> </w:t>
      </w:r>
      <w:r>
        <w:rPr/>
        <w:t>1978</w:t>
      </w:r>
      <w:r>
        <w:rPr>
          <w:spacing w:val="-4"/>
        </w:rPr>
        <w:t> </w:t>
      </w:r>
      <w:r>
        <w:rPr/>
        <w:t>that</w:t>
      </w:r>
      <w:r>
        <w:rPr>
          <w:spacing w:val="-2"/>
        </w:rPr>
        <w:t> </w:t>
      </w:r>
      <w:r>
        <w:rPr/>
        <w:t>works both</w:t>
      </w:r>
      <w:r>
        <w:rPr>
          <w:spacing w:val="-2"/>
        </w:rPr>
        <w:t> </w:t>
      </w:r>
      <w:r>
        <w:rPr/>
        <w:t>nationally</w:t>
      </w:r>
      <w:r>
        <w:rPr>
          <w:spacing w:val="-4"/>
        </w:rPr>
        <w:t> </w:t>
      </w:r>
      <w:r>
        <w:rPr/>
        <w:t>and</w:t>
      </w:r>
      <w:r>
        <w:rPr>
          <w:spacing w:val="-3"/>
        </w:rPr>
        <w:t> </w:t>
      </w:r>
      <w:r>
        <w:rPr/>
        <w:t>across</w:t>
      </w:r>
      <w:r>
        <w:rPr>
          <w:spacing w:val="-5"/>
        </w:rPr>
        <w:t> </w:t>
      </w:r>
      <w:r>
        <w:rPr/>
        <w:t>Victoria to promote the health and wellbeing of migrant and refugee</w:t>
      </w:r>
      <w:hyperlink w:history="true" w:anchor="_bookmark0">
        <w:r>
          <w:rPr>
            <w:rFonts w:ascii="Calibri Light" w:hAnsi="Calibri Light"/>
            <w:b w:val="0"/>
            <w:vertAlign w:val="superscript"/>
          </w:rPr>
          <w:t>1</w:t>
        </w:r>
      </w:hyperlink>
      <w:r>
        <w:rPr>
          <w:rFonts w:ascii="Calibri Light" w:hAnsi="Calibri Light"/>
          <w:b w:val="0"/>
          <w:vertAlign w:val="baseline"/>
        </w:rPr>
        <w:t> </w:t>
      </w:r>
      <w:r>
        <w:rPr>
          <w:vertAlign w:val="baseline"/>
        </w:rPr>
        <w:t>women and gender diverse people across Australia. We do this through research and publication, participation in advisory groups and committees, written submissions, and training and capacity building.</w:t>
      </w:r>
    </w:p>
    <w:p>
      <w:pPr>
        <w:pStyle w:val="BodyText"/>
        <w:spacing w:line="276" w:lineRule="auto" w:before="121"/>
        <w:ind w:right="1547"/>
      </w:pPr>
      <w:r>
        <w:rPr/>
        <w:t>Migrant and refugee women make up a large portion of Victoria’s public housing residents, particularly in the 44 towers, with many speaking a language other than English, having additional care needs or being carers themselves. The 44 towers represent important sites for migrant and refugee</w:t>
      </w:r>
      <w:r>
        <w:rPr>
          <w:spacing w:val="-5"/>
        </w:rPr>
        <w:t> </w:t>
      </w:r>
      <w:r>
        <w:rPr/>
        <w:t>women,</w:t>
      </w:r>
      <w:r>
        <w:rPr>
          <w:spacing w:val="-5"/>
        </w:rPr>
        <w:t> </w:t>
      </w:r>
      <w:r>
        <w:rPr/>
        <w:t>where</w:t>
      </w:r>
      <w:r>
        <w:rPr>
          <w:spacing w:val="-3"/>
        </w:rPr>
        <w:t> </w:t>
      </w:r>
      <w:r>
        <w:rPr/>
        <w:t>tight-knit</w:t>
      </w:r>
      <w:r>
        <w:rPr>
          <w:spacing w:val="-3"/>
        </w:rPr>
        <w:t> </w:t>
      </w:r>
      <w:r>
        <w:rPr/>
        <w:t>communities</w:t>
      </w:r>
      <w:r>
        <w:rPr>
          <w:spacing w:val="-3"/>
        </w:rPr>
        <w:t> </w:t>
      </w:r>
      <w:r>
        <w:rPr/>
        <w:t>provide</w:t>
      </w:r>
      <w:r>
        <w:rPr>
          <w:spacing w:val="-1"/>
        </w:rPr>
        <w:t> </w:t>
      </w:r>
      <w:r>
        <w:rPr/>
        <w:t>opportunities</w:t>
      </w:r>
      <w:r>
        <w:rPr>
          <w:spacing w:val="-5"/>
        </w:rPr>
        <w:t> </w:t>
      </w:r>
      <w:r>
        <w:rPr/>
        <w:t>for</w:t>
      </w:r>
      <w:r>
        <w:rPr>
          <w:spacing w:val="-5"/>
        </w:rPr>
        <w:t> </w:t>
      </w:r>
      <w:r>
        <w:rPr/>
        <w:t>communal</w:t>
      </w:r>
      <w:r>
        <w:rPr>
          <w:spacing w:val="-3"/>
        </w:rPr>
        <w:t> </w:t>
      </w:r>
      <w:r>
        <w:rPr/>
        <w:t>care</w:t>
      </w:r>
      <w:r>
        <w:rPr>
          <w:spacing w:val="-3"/>
        </w:rPr>
        <w:t> </w:t>
      </w:r>
      <w:r>
        <w:rPr/>
        <w:t>and</w:t>
      </w:r>
      <w:r>
        <w:rPr>
          <w:spacing w:val="-1"/>
        </w:rPr>
        <w:t> </w:t>
      </w:r>
      <w:r>
        <w:rPr/>
        <w:t>foster a sense of belonging, both integral to migrant and refugee women’s health and wellbeing.</w:t>
      </w:r>
    </w:p>
    <w:p>
      <w:pPr>
        <w:pStyle w:val="BodyText"/>
        <w:spacing w:line="276" w:lineRule="auto" w:before="119"/>
        <w:ind w:right="1483"/>
      </w:pPr>
      <w:r>
        <w:rPr/>
        <w:t>MCWH considers the health and wellbeing of Victoria’s public housing residents to be core to our mission. Housing is well established as an important social determinant of health, especially for refugees where housing is a key element of settlement success (VicHealth 2011; Ziersch 2024). Our engagement with public housing towers’ residents during the 2020 COVID-19 lockdowns, in which MCWH provided in-language telephone health education directly to public housing residents across the</w:t>
      </w:r>
      <w:r>
        <w:rPr>
          <w:spacing w:val="-2"/>
        </w:rPr>
        <w:t> </w:t>
      </w:r>
      <w:r>
        <w:rPr/>
        <w:t>Melbourne</w:t>
      </w:r>
      <w:r>
        <w:rPr>
          <w:spacing w:val="-4"/>
        </w:rPr>
        <w:t> </w:t>
      </w:r>
      <w:r>
        <w:rPr/>
        <w:t>metropolitan</w:t>
      </w:r>
      <w:r>
        <w:rPr>
          <w:spacing w:val="-3"/>
        </w:rPr>
        <w:t> </w:t>
      </w:r>
      <w:r>
        <w:rPr/>
        <w:t>region,</w:t>
      </w:r>
      <w:r>
        <w:rPr>
          <w:spacing w:val="-2"/>
        </w:rPr>
        <w:t> </w:t>
      </w:r>
      <w:r>
        <w:rPr/>
        <w:t>further</w:t>
      </w:r>
      <w:r>
        <w:rPr>
          <w:spacing w:val="-2"/>
        </w:rPr>
        <w:t> </w:t>
      </w:r>
      <w:r>
        <w:rPr/>
        <w:t>informs</w:t>
      </w:r>
      <w:r>
        <w:rPr>
          <w:spacing w:val="-7"/>
        </w:rPr>
        <w:t> </w:t>
      </w:r>
      <w:r>
        <w:rPr/>
        <w:t>our</w:t>
      </w:r>
      <w:r>
        <w:rPr>
          <w:spacing w:val="-2"/>
        </w:rPr>
        <w:t> </w:t>
      </w:r>
      <w:r>
        <w:rPr/>
        <w:t>concern for</w:t>
      </w:r>
      <w:r>
        <w:rPr>
          <w:spacing w:val="-2"/>
        </w:rPr>
        <w:t> </w:t>
      </w:r>
      <w:r>
        <w:rPr/>
        <w:t>public</w:t>
      </w:r>
      <w:r>
        <w:rPr>
          <w:spacing w:val="-2"/>
        </w:rPr>
        <w:t> </w:t>
      </w:r>
      <w:r>
        <w:rPr/>
        <w:t>housing</w:t>
      </w:r>
      <w:r>
        <w:rPr>
          <w:spacing w:val="-3"/>
        </w:rPr>
        <w:t> </w:t>
      </w:r>
      <w:r>
        <w:rPr/>
        <w:t>residents’</w:t>
      </w:r>
      <w:r>
        <w:rPr>
          <w:spacing w:val="-3"/>
        </w:rPr>
        <w:t> </w:t>
      </w:r>
      <w:r>
        <w:rPr/>
        <w:t>of</w:t>
      </w:r>
      <w:r>
        <w:rPr>
          <w:spacing w:val="-4"/>
        </w:rPr>
        <w:t> </w:t>
      </w:r>
      <w:r>
        <w:rPr/>
        <w:t>the 44 towers, as well as our concern for the future of public housing in Victoria.</w:t>
      </w:r>
    </w:p>
    <w:p>
      <w:pPr>
        <w:pStyle w:val="BodyText"/>
        <w:spacing w:line="276" w:lineRule="auto" w:before="121"/>
        <w:ind w:right="1483"/>
      </w:pPr>
      <w:r>
        <w:rPr/>
        <w:t>As the national</w:t>
      </w:r>
      <w:r>
        <w:rPr>
          <w:spacing w:val="-1"/>
        </w:rPr>
        <w:t> </w:t>
      </w:r>
      <w:r>
        <w:rPr/>
        <w:t>voice for migrant and refugee women, our submission highlights that the health and wellbeing of migrant and refugee women, and their communities more generally, has not been adequately</w:t>
      </w:r>
      <w:r>
        <w:rPr>
          <w:spacing w:val="-4"/>
        </w:rPr>
        <w:t> </w:t>
      </w:r>
      <w:r>
        <w:rPr/>
        <w:t>considered</w:t>
      </w:r>
      <w:r>
        <w:rPr>
          <w:spacing w:val="-3"/>
        </w:rPr>
        <w:t> </w:t>
      </w:r>
      <w:r>
        <w:rPr/>
        <w:t>by</w:t>
      </w:r>
      <w:r>
        <w:rPr>
          <w:spacing w:val="-3"/>
        </w:rPr>
        <w:t> </w:t>
      </w:r>
      <w:r>
        <w:rPr/>
        <w:t>the</w:t>
      </w:r>
      <w:r>
        <w:rPr>
          <w:spacing w:val="-3"/>
        </w:rPr>
        <w:t> </w:t>
      </w:r>
      <w:r>
        <w:rPr/>
        <w:t>plan.</w:t>
      </w:r>
      <w:r>
        <w:rPr>
          <w:spacing w:val="-3"/>
        </w:rPr>
        <w:t> </w:t>
      </w:r>
      <w:r>
        <w:rPr/>
        <w:t>This</w:t>
      </w:r>
      <w:r>
        <w:rPr>
          <w:spacing w:val="-3"/>
        </w:rPr>
        <w:t> </w:t>
      </w:r>
      <w:r>
        <w:rPr/>
        <w:t>submission</w:t>
      </w:r>
      <w:r>
        <w:rPr>
          <w:spacing w:val="-5"/>
        </w:rPr>
        <w:t> </w:t>
      </w:r>
      <w:r>
        <w:rPr/>
        <w:t>considers</w:t>
      </w:r>
      <w:r>
        <w:rPr>
          <w:spacing w:val="-3"/>
        </w:rPr>
        <w:t> </w:t>
      </w:r>
      <w:r>
        <w:rPr/>
        <w:t>the</w:t>
      </w:r>
      <w:r>
        <w:rPr>
          <w:spacing w:val="-3"/>
        </w:rPr>
        <w:t> </w:t>
      </w:r>
      <w:r>
        <w:rPr/>
        <w:t>intersecting</w:t>
      </w:r>
      <w:r>
        <w:rPr>
          <w:spacing w:val="-4"/>
        </w:rPr>
        <w:t> </w:t>
      </w:r>
      <w:r>
        <w:rPr/>
        <w:t>challenges,</w:t>
      </w:r>
      <w:r>
        <w:rPr>
          <w:spacing w:val="-2"/>
        </w:rPr>
        <w:t> </w:t>
      </w:r>
      <w:r>
        <w:rPr/>
        <w:t>conditions and circumstances that migrant and refugee women and gender diverse people face as a result of the combined forces of racial, gender-based and migration-related inequity, while further considering how these forces, in conjunction with the government’s planned demolition of the towers and the relocation of residents to community (rather than public) housing, will impact the health and wellbeing of residents. Further, we consider the broader role of public housing in mitigating the discrimination and disadvantage migrant and refugee women face in the private</w:t>
      </w:r>
    </w:p>
    <w:p>
      <w:pPr>
        <w:pStyle w:val="BodyText"/>
        <w:spacing w:before="56"/>
        <w:ind w:left="0"/>
        <w:rPr>
          <w:sz w:val="20"/>
        </w:rPr>
      </w:pPr>
      <w:r>
        <w:rPr>
          <w:sz w:val="20"/>
        </w:rPr>
        <mc:AlternateContent>
          <mc:Choice Requires="wps">
            <w:drawing>
              <wp:anchor distT="0" distB="0" distL="0" distR="0" allowOverlap="1" layoutInCell="1" locked="0" behindDoc="1" simplePos="0" relativeHeight="487587840">
                <wp:simplePos x="0" y="0"/>
                <wp:positionH relativeFrom="page">
                  <wp:posOffset>914704</wp:posOffset>
                </wp:positionH>
                <wp:positionV relativeFrom="paragraph">
                  <wp:posOffset>206423</wp:posOffset>
                </wp:positionV>
                <wp:extent cx="1829435" cy="952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1829435" cy="9525"/>
                        </a:xfrm>
                        <a:custGeom>
                          <a:avLst/>
                          <a:gdLst/>
                          <a:ahLst/>
                          <a:cxnLst/>
                          <a:rect l="l" t="t" r="r" b="b"/>
                          <a:pathLst>
                            <a:path w="1829435" h="9525">
                              <a:moveTo>
                                <a:pt x="1829054" y="0"/>
                              </a:moveTo>
                              <a:lnTo>
                                <a:pt x="0" y="0"/>
                              </a:lnTo>
                              <a:lnTo>
                                <a:pt x="0" y="9143"/>
                              </a:lnTo>
                              <a:lnTo>
                                <a:pt x="1829054" y="9143"/>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024002pt;margin-top:16.253839pt;width:144.020pt;height:.71997pt;mso-position-horizontal-relative:page;mso-position-vertical-relative:paragraph;z-index:-15728640;mso-wrap-distance-left:0;mso-wrap-distance-right:0" id="docshape5" filled="true" fillcolor="#000000" stroked="false">
                <v:fill type="solid"/>
                <w10:wrap type="topAndBottom"/>
              </v:rect>
            </w:pict>
          </mc:Fallback>
        </mc:AlternateContent>
      </w:r>
    </w:p>
    <w:p>
      <w:pPr>
        <w:spacing w:before="100"/>
        <w:ind w:left="1440" w:right="1547" w:firstLine="0"/>
        <w:jc w:val="left"/>
        <w:rPr>
          <w:sz w:val="20"/>
        </w:rPr>
      </w:pPr>
      <w:bookmarkStart w:name="_bookmark0" w:id="1"/>
      <w:bookmarkEnd w:id="1"/>
      <w:r>
        <w:rPr/>
      </w:r>
      <w:r>
        <w:rPr>
          <w:sz w:val="20"/>
          <w:vertAlign w:val="superscript"/>
        </w:rPr>
        <w:t>1</w:t>
      </w:r>
      <w:r>
        <w:rPr>
          <w:sz w:val="20"/>
          <w:vertAlign w:val="baseline"/>
        </w:rPr>
        <w:t> The term ‘migrant and refugee’ refers to people who have migrated from overseas and their children. It includes</w:t>
      </w:r>
      <w:r>
        <w:rPr>
          <w:spacing w:val="-3"/>
          <w:sz w:val="20"/>
          <w:vertAlign w:val="baseline"/>
        </w:rPr>
        <w:t> </w:t>
      </w:r>
      <w:r>
        <w:rPr>
          <w:sz w:val="20"/>
          <w:vertAlign w:val="baseline"/>
        </w:rPr>
        <w:t>people</w:t>
      </w:r>
      <w:r>
        <w:rPr>
          <w:spacing w:val="-5"/>
          <w:sz w:val="20"/>
          <w:vertAlign w:val="baseline"/>
        </w:rPr>
        <w:t> </w:t>
      </w:r>
      <w:r>
        <w:rPr>
          <w:sz w:val="20"/>
          <w:vertAlign w:val="baseline"/>
        </w:rPr>
        <w:t>who</w:t>
      </w:r>
      <w:r>
        <w:rPr>
          <w:spacing w:val="-3"/>
          <w:sz w:val="20"/>
          <w:vertAlign w:val="baseline"/>
        </w:rPr>
        <w:t> </w:t>
      </w:r>
      <w:r>
        <w:rPr>
          <w:sz w:val="20"/>
          <w:vertAlign w:val="baseline"/>
        </w:rPr>
        <w:t>are</w:t>
      </w:r>
      <w:r>
        <w:rPr>
          <w:spacing w:val="-4"/>
          <w:sz w:val="20"/>
          <w:vertAlign w:val="baseline"/>
        </w:rPr>
        <w:t> </w:t>
      </w:r>
      <w:r>
        <w:rPr>
          <w:sz w:val="20"/>
          <w:vertAlign w:val="baseline"/>
        </w:rPr>
        <w:t>part</w:t>
      </w:r>
      <w:r>
        <w:rPr>
          <w:spacing w:val="-3"/>
          <w:sz w:val="20"/>
          <w:vertAlign w:val="baseline"/>
        </w:rPr>
        <w:t> </w:t>
      </w:r>
      <w:r>
        <w:rPr>
          <w:sz w:val="20"/>
          <w:vertAlign w:val="baseline"/>
        </w:rPr>
        <w:t>of</w:t>
      </w:r>
      <w:r>
        <w:rPr>
          <w:spacing w:val="-5"/>
          <w:sz w:val="20"/>
          <w:vertAlign w:val="baseline"/>
        </w:rPr>
        <w:t> </w:t>
      </w:r>
      <w:r>
        <w:rPr>
          <w:sz w:val="20"/>
          <w:vertAlign w:val="baseline"/>
        </w:rPr>
        <w:t>both</w:t>
      </w:r>
      <w:r>
        <w:rPr>
          <w:spacing w:val="-3"/>
          <w:sz w:val="20"/>
          <w:vertAlign w:val="baseline"/>
        </w:rPr>
        <w:t> </w:t>
      </w:r>
      <w:r>
        <w:rPr>
          <w:sz w:val="20"/>
          <w:vertAlign w:val="baseline"/>
        </w:rPr>
        <w:t>newly</w:t>
      </w:r>
      <w:r>
        <w:rPr>
          <w:spacing w:val="-3"/>
          <w:sz w:val="20"/>
          <w:vertAlign w:val="baseline"/>
        </w:rPr>
        <w:t> </w:t>
      </w:r>
      <w:r>
        <w:rPr>
          <w:sz w:val="20"/>
          <w:vertAlign w:val="baseline"/>
        </w:rPr>
        <w:t>emerging</w:t>
      </w:r>
      <w:r>
        <w:rPr>
          <w:spacing w:val="-4"/>
          <w:sz w:val="20"/>
          <w:vertAlign w:val="baseline"/>
        </w:rPr>
        <w:t> </w:t>
      </w:r>
      <w:r>
        <w:rPr>
          <w:sz w:val="20"/>
          <w:vertAlign w:val="baseline"/>
        </w:rPr>
        <w:t>and</w:t>
      </w:r>
      <w:r>
        <w:rPr>
          <w:spacing w:val="-3"/>
          <w:sz w:val="20"/>
          <w:vertAlign w:val="baseline"/>
        </w:rPr>
        <w:t> </w:t>
      </w:r>
      <w:r>
        <w:rPr>
          <w:sz w:val="20"/>
          <w:vertAlign w:val="baseline"/>
        </w:rPr>
        <w:t>longer</w:t>
      </w:r>
      <w:r>
        <w:rPr>
          <w:spacing w:val="-3"/>
          <w:sz w:val="20"/>
          <w:vertAlign w:val="baseline"/>
        </w:rPr>
        <w:t> </w:t>
      </w:r>
      <w:r>
        <w:rPr>
          <w:sz w:val="20"/>
          <w:vertAlign w:val="baseline"/>
        </w:rPr>
        <w:t>established</w:t>
      </w:r>
      <w:r>
        <w:rPr>
          <w:spacing w:val="-3"/>
          <w:sz w:val="20"/>
          <w:vertAlign w:val="baseline"/>
        </w:rPr>
        <w:t> </w:t>
      </w:r>
      <w:r>
        <w:rPr>
          <w:sz w:val="20"/>
          <w:vertAlign w:val="baseline"/>
        </w:rPr>
        <w:t>communities,</w:t>
      </w:r>
      <w:r>
        <w:rPr>
          <w:spacing w:val="-3"/>
          <w:sz w:val="20"/>
          <w:vertAlign w:val="baseline"/>
        </w:rPr>
        <w:t> </w:t>
      </w:r>
      <w:r>
        <w:rPr>
          <w:sz w:val="20"/>
          <w:vertAlign w:val="baseline"/>
        </w:rPr>
        <w:t>and</w:t>
      </w:r>
      <w:r>
        <w:rPr>
          <w:spacing w:val="-3"/>
          <w:sz w:val="20"/>
          <w:vertAlign w:val="baseline"/>
        </w:rPr>
        <w:t> </w:t>
      </w:r>
      <w:r>
        <w:rPr>
          <w:sz w:val="20"/>
          <w:vertAlign w:val="baseline"/>
        </w:rPr>
        <w:t>who</w:t>
      </w:r>
      <w:r>
        <w:rPr>
          <w:spacing w:val="-3"/>
          <w:sz w:val="20"/>
          <w:vertAlign w:val="baseline"/>
        </w:rPr>
        <w:t> </w:t>
      </w:r>
      <w:r>
        <w:rPr>
          <w:sz w:val="20"/>
          <w:vertAlign w:val="baseline"/>
        </w:rPr>
        <w:t>arrive</w:t>
      </w:r>
      <w:r>
        <w:rPr>
          <w:spacing w:val="-4"/>
          <w:sz w:val="20"/>
          <w:vertAlign w:val="baseline"/>
        </w:rPr>
        <w:t> </w:t>
      </w:r>
      <w:r>
        <w:rPr>
          <w:sz w:val="20"/>
          <w:vertAlign w:val="baseline"/>
        </w:rPr>
        <w:t>in Australia on either temporary or permanent visas.</w:t>
      </w:r>
    </w:p>
    <w:p>
      <w:pPr>
        <w:spacing w:after="0"/>
        <w:jc w:val="left"/>
        <w:rPr>
          <w:sz w:val="20"/>
        </w:rPr>
        <w:sectPr>
          <w:type w:val="continuous"/>
          <w:pgSz w:w="11910" w:h="16840"/>
          <w:pgMar w:header="0" w:footer="891" w:top="0" w:bottom="1080" w:left="0" w:right="0"/>
        </w:sectPr>
      </w:pPr>
    </w:p>
    <w:p>
      <w:pPr>
        <w:pStyle w:val="BodyText"/>
        <w:spacing w:before="41"/>
      </w:pPr>
      <w:r>
        <w:rPr/>
        <w:t>housing</w:t>
      </w:r>
      <w:r>
        <w:rPr>
          <w:spacing w:val="-6"/>
        </w:rPr>
        <w:t> </w:t>
      </w:r>
      <w:r>
        <w:rPr/>
        <w:t>market.</w:t>
      </w:r>
      <w:r>
        <w:rPr>
          <w:spacing w:val="-3"/>
        </w:rPr>
        <w:t> </w:t>
      </w:r>
      <w:r>
        <w:rPr/>
        <w:t>In</w:t>
      </w:r>
      <w:r>
        <w:rPr>
          <w:spacing w:val="-4"/>
        </w:rPr>
        <w:t> </w:t>
      </w:r>
      <w:r>
        <w:rPr/>
        <w:t>doing</w:t>
      </w:r>
      <w:r>
        <w:rPr>
          <w:spacing w:val="-4"/>
        </w:rPr>
        <w:t> </w:t>
      </w:r>
      <w:r>
        <w:rPr/>
        <w:t>this,</w:t>
      </w:r>
      <w:r>
        <w:rPr>
          <w:spacing w:val="-2"/>
        </w:rPr>
        <w:t> </w:t>
      </w:r>
      <w:r>
        <w:rPr/>
        <w:t>we</w:t>
      </w:r>
      <w:r>
        <w:rPr>
          <w:spacing w:val="-5"/>
        </w:rPr>
        <w:t> </w:t>
      </w:r>
      <w:r>
        <w:rPr/>
        <w:t>will</w:t>
      </w:r>
      <w:r>
        <w:rPr>
          <w:spacing w:val="-3"/>
        </w:rPr>
        <w:t> </w:t>
      </w:r>
      <w:r>
        <w:rPr/>
        <w:t>respond</w:t>
      </w:r>
      <w:r>
        <w:rPr>
          <w:spacing w:val="-3"/>
        </w:rPr>
        <w:t> </w:t>
      </w:r>
      <w:r>
        <w:rPr/>
        <w:t>directly</w:t>
      </w:r>
      <w:r>
        <w:rPr>
          <w:spacing w:val="-3"/>
        </w:rPr>
        <w:t> </w:t>
      </w:r>
      <w:r>
        <w:rPr/>
        <w:t>to</w:t>
      </w:r>
      <w:r>
        <w:rPr>
          <w:spacing w:val="-1"/>
        </w:rPr>
        <w:t> </w:t>
      </w:r>
      <w:r>
        <w:rPr/>
        <w:t>four</w:t>
      </w:r>
      <w:r>
        <w:rPr>
          <w:spacing w:val="-3"/>
        </w:rPr>
        <w:t> </w:t>
      </w:r>
      <w:r>
        <w:rPr/>
        <w:t>key</w:t>
      </w:r>
      <w:r>
        <w:rPr>
          <w:spacing w:val="-2"/>
        </w:rPr>
        <w:t> </w:t>
      </w:r>
      <w:r>
        <w:rPr/>
        <w:t>aspects</w:t>
      </w:r>
      <w:r>
        <w:rPr>
          <w:spacing w:val="-4"/>
        </w:rPr>
        <w:t> </w:t>
      </w:r>
      <w:r>
        <w:rPr/>
        <w:t>of</w:t>
      </w:r>
      <w:r>
        <w:rPr>
          <w:spacing w:val="-6"/>
        </w:rPr>
        <w:t> </w:t>
      </w:r>
      <w:r>
        <w:rPr/>
        <w:t>the</w:t>
      </w:r>
      <w:r>
        <w:rPr>
          <w:spacing w:val="-4"/>
        </w:rPr>
        <w:t> </w:t>
      </w:r>
      <w:r>
        <w:rPr/>
        <w:t>terms</w:t>
      </w:r>
      <w:r>
        <w:rPr>
          <w:spacing w:val="-5"/>
        </w:rPr>
        <w:t> </w:t>
      </w:r>
      <w:r>
        <w:rPr/>
        <w:t>of</w:t>
      </w:r>
      <w:r>
        <w:rPr>
          <w:spacing w:val="-2"/>
        </w:rPr>
        <w:t> reference,</w:t>
      </w:r>
    </w:p>
    <w:p>
      <w:pPr>
        <w:pStyle w:val="ListParagraph"/>
        <w:numPr>
          <w:ilvl w:val="0"/>
          <w:numId w:val="1"/>
        </w:numPr>
        <w:tabs>
          <w:tab w:pos="1661" w:val="left" w:leader="none"/>
        </w:tabs>
        <w:spacing w:line="276" w:lineRule="auto" w:before="41" w:after="0"/>
        <w:ind w:left="1440" w:right="1594" w:firstLine="0"/>
        <w:jc w:val="left"/>
        <w:rPr>
          <w:sz w:val="22"/>
        </w:rPr>
      </w:pPr>
      <w:r>
        <w:rPr>
          <w:sz w:val="22"/>
        </w:rPr>
        <w:t>the</w:t>
      </w:r>
      <w:r>
        <w:rPr>
          <w:spacing w:val="-2"/>
          <w:sz w:val="22"/>
        </w:rPr>
        <w:t> </w:t>
      </w:r>
      <w:r>
        <w:rPr>
          <w:sz w:val="22"/>
        </w:rPr>
        <w:t>rationale</w:t>
      </w:r>
      <w:r>
        <w:rPr>
          <w:spacing w:val="-2"/>
          <w:sz w:val="22"/>
        </w:rPr>
        <w:t> </w:t>
      </w:r>
      <w:r>
        <w:rPr>
          <w:sz w:val="22"/>
        </w:rPr>
        <w:t>for</w:t>
      </w:r>
      <w:r>
        <w:rPr>
          <w:spacing w:val="-2"/>
          <w:sz w:val="22"/>
        </w:rPr>
        <w:t> </w:t>
      </w:r>
      <w:r>
        <w:rPr>
          <w:sz w:val="22"/>
        </w:rPr>
        <w:t>the</w:t>
      </w:r>
      <w:r>
        <w:rPr>
          <w:spacing w:val="-4"/>
          <w:sz w:val="22"/>
        </w:rPr>
        <w:t> </w:t>
      </w:r>
      <w:r>
        <w:rPr>
          <w:sz w:val="22"/>
        </w:rPr>
        <w:t>plan,</w:t>
      </w:r>
      <w:r>
        <w:rPr>
          <w:spacing w:val="-2"/>
          <w:sz w:val="22"/>
        </w:rPr>
        <w:t> </w:t>
      </w:r>
      <w:r>
        <w:rPr>
          <w:sz w:val="22"/>
        </w:rPr>
        <w:t>b)</w:t>
      </w:r>
      <w:r>
        <w:rPr>
          <w:spacing w:val="-2"/>
          <w:sz w:val="22"/>
        </w:rPr>
        <w:t> </w:t>
      </w:r>
      <w:r>
        <w:rPr>
          <w:sz w:val="22"/>
        </w:rPr>
        <w:t>the</w:t>
      </w:r>
      <w:r>
        <w:rPr>
          <w:spacing w:val="-2"/>
          <w:sz w:val="22"/>
        </w:rPr>
        <w:t> </w:t>
      </w:r>
      <w:r>
        <w:rPr>
          <w:sz w:val="22"/>
        </w:rPr>
        <w:t>impact</w:t>
      </w:r>
      <w:r>
        <w:rPr>
          <w:spacing w:val="-2"/>
          <w:sz w:val="22"/>
        </w:rPr>
        <w:t> </w:t>
      </w:r>
      <w:r>
        <w:rPr>
          <w:sz w:val="22"/>
        </w:rPr>
        <w:t>of</w:t>
      </w:r>
      <w:r>
        <w:rPr>
          <w:spacing w:val="-5"/>
          <w:sz w:val="22"/>
        </w:rPr>
        <w:t> </w:t>
      </w:r>
      <w:r>
        <w:rPr>
          <w:sz w:val="22"/>
        </w:rPr>
        <w:t>the</w:t>
      </w:r>
      <w:r>
        <w:rPr>
          <w:spacing w:val="-4"/>
          <w:sz w:val="22"/>
        </w:rPr>
        <w:t> </w:t>
      </w:r>
      <w:r>
        <w:rPr>
          <w:sz w:val="22"/>
        </w:rPr>
        <w:t>plan</w:t>
      </w:r>
      <w:r>
        <w:rPr>
          <w:spacing w:val="-3"/>
          <w:sz w:val="22"/>
        </w:rPr>
        <w:t> </w:t>
      </w:r>
      <w:r>
        <w:rPr>
          <w:sz w:val="22"/>
        </w:rPr>
        <w:t>on</w:t>
      </w:r>
      <w:r>
        <w:rPr>
          <w:spacing w:val="-3"/>
          <w:sz w:val="22"/>
        </w:rPr>
        <w:t> </w:t>
      </w:r>
      <w:r>
        <w:rPr>
          <w:sz w:val="22"/>
        </w:rPr>
        <w:t>residents</w:t>
      </w:r>
      <w:r>
        <w:rPr>
          <w:spacing w:val="-2"/>
          <w:sz w:val="22"/>
        </w:rPr>
        <w:t> </w:t>
      </w:r>
      <w:r>
        <w:rPr>
          <w:sz w:val="22"/>
        </w:rPr>
        <w:t>and</w:t>
      </w:r>
      <w:r>
        <w:rPr>
          <w:spacing w:val="-5"/>
          <w:sz w:val="22"/>
        </w:rPr>
        <w:t> </w:t>
      </w:r>
      <w:r>
        <w:rPr>
          <w:sz w:val="22"/>
        </w:rPr>
        <w:t>the</w:t>
      </w:r>
      <w:r>
        <w:rPr>
          <w:spacing w:val="-2"/>
          <w:sz w:val="22"/>
        </w:rPr>
        <w:t> </w:t>
      </w:r>
      <w:r>
        <w:rPr>
          <w:sz w:val="22"/>
        </w:rPr>
        <w:t>net</w:t>
      </w:r>
      <w:r>
        <w:rPr>
          <w:spacing w:val="-2"/>
          <w:sz w:val="22"/>
        </w:rPr>
        <w:t> </w:t>
      </w:r>
      <w:r>
        <w:rPr>
          <w:sz w:val="22"/>
        </w:rPr>
        <w:t>availability</w:t>
      </w:r>
      <w:r>
        <w:rPr>
          <w:spacing w:val="-4"/>
          <w:sz w:val="22"/>
        </w:rPr>
        <w:t> </w:t>
      </w:r>
      <w:r>
        <w:rPr>
          <w:sz w:val="22"/>
        </w:rPr>
        <w:t>of</w:t>
      </w:r>
      <w:r>
        <w:rPr>
          <w:spacing w:val="-2"/>
          <w:sz w:val="22"/>
        </w:rPr>
        <w:t> </w:t>
      </w:r>
      <w:r>
        <w:rPr>
          <w:sz w:val="22"/>
        </w:rPr>
        <w:t>future housing, c) the adequacy of consultation and g) the impacts of the plan on the future of public housing in Victoria.</w:t>
      </w:r>
    </w:p>
    <w:p>
      <w:pPr>
        <w:pStyle w:val="BodyText"/>
        <w:spacing w:line="276" w:lineRule="auto" w:before="120"/>
        <w:ind w:right="1547"/>
      </w:pPr>
      <w:r>
        <w:rPr/>
        <w:t>We provide</w:t>
      </w:r>
      <w:r>
        <w:rPr>
          <w:spacing w:val="-1"/>
        </w:rPr>
        <w:t> </w:t>
      </w:r>
      <w:r>
        <w:rPr/>
        <w:t>further recommendations</w:t>
      </w:r>
      <w:r>
        <w:rPr>
          <w:spacing w:val="-1"/>
        </w:rPr>
        <w:t> </w:t>
      </w:r>
      <w:r>
        <w:rPr/>
        <w:t>on how the Victorian government can</w:t>
      </w:r>
      <w:r>
        <w:rPr>
          <w:spacing w:val="-3"/>
        </w:rPr>
        <w:t> </w:t>
      </w:r>
      <w:r>
        <w:rPr/>
        <w:t>better consider</w:t>
      </w:r>
      <w:r>
        <w:rPr>
          <w:spacing w:val="-1"/>
        </w:rPr>
        <w:t> </w:t>
      </w:r>
      <w:r>
        <w:rPr/>
        <w:t>the needs</w:t>
      </w:r>
      <w:r>
        <w:rPr>
          <w:spacing w:val="-4"/>
        </w:rPr>
        <w:t> </w:t>
      </w:r>
      <w:r>
        <w:rPr/>
        <w:t>of</w:t>
      </w:r>
      <w:r>
        <w:rPr>
          <w:spacing w:val="-4"/>
        </w:rPr>
        <w:t> </w:t>
      </w:r>
      <w:r>
        <w:rPr/>
        <w:t>migrant</w:t>
      </w:r>
      <w:r>
        <w:rPr>
          <w:spacing w:val="-2"/>
        </w:rPr>
        <w:t> </w:t>
      </w:r>
      <w:r>
        <w:rPr/>
        <w:t>and</w:t>
      </w:r>
      <w:r>
        <w:rPr>
          <w:spacing w:val="-3"/>
        </w:rPr>
        <w:t> </w:t>
      </w:r>
      <w:r>
        <w:rPr/>
        <w:t>refugee</w:t>
      </w:r>
      <w:r>
        <w:rPr>
          <w:spacing w:val="-4"/>
        </w:rPr>
        <w:t> </w:t>
      </w:r>
      <w:r>
        <w:rPr/>
        <w:t>women</w:t>
      </w:r>
      <w:r>
        <w:rPr>
          <w:spacing w:val="-3"/>
        </w:rPr>
        <w:t> </w:t>
      </w:r>
      <w:r>
        <w:rPr/>
        <w:t>in</w:t>
      </w:r>
      <w:r>
        <w:rPr>
          <w:spacing w:val="-6"/>
        </w:rPr>
        <w:t> </w:t>
      </w:r>
      <w:r>
        <w:rPr/>
        <w:t>relation</w:t>
      </w:r>
      <w:r>
        <w:rPr>
          <w:spacing w:val="-3"/>
        </w:rPr>
        <w:t> </w:t>
      </w:r>
      <w:r>
        <w:rPr/>
        <w:t>to</w:t>
      </w:r>
      <w:r>
        <w:rPr>
          <w:spacing w:val="-1"/>
        </w:rPr>
        <w:t> </w:t>
      </w:r>
      <w:r>
        <w:rPr/>
        <w:t>housing,</w:t>
      </w:r>
      <w:r>
        <w:rPr>
          <w:spacing w:val="-2"/>
        </w:rPr>
        <w:t> </w:t>
      </w:r>
      <w:r>
        <w:rPr/>
        <w:t>including</w:t>
      </w:r>
      <w:r>
        <w:rPr>
          <w:spacing w:val="-3"/>
        </w:rPr>
        <w:t> </w:t>
      </w:r>
      <w:r>
        <w:rPr/>
        <w:t>by undertaking</w:t>
      </w:r>
      <w:r>
        <w:rPr>
          <w:spacing w:val="-3"/>
        </w:rPr>
        <w:t> </w:t>
      </w:r>
      <w:r>
        <w:rPr/>
        <w:t>immediate consultation with residents of the towers in their preferred language, reconsider the plan to demolish public housing, and take an intersectional intergovernmental approach to all housing planning in collaboration and consultation with migrant and refugee organisations.</w:t>
      </w:r>
    </w:p>
    <w:p>
      <w:pPr>
        <w:pStyle w:val="Heading2"/>
        <w:spacing w:before="240"/>
      </w:pPr>
      <w:r>
        <w:rPr>
          <w:color w:val="333366"/>
        </w:rPr>
        <w:t>Background:</w:t>
      </w:r>
      <w:r>
        <w:rPr>
          <w:color w:val="333366"/>
          <w:spacing w:val="-8"/>
        </w:rPr>
        <w:t> </w:t>
      </w:r>
      <w:r>
        <w:rPr>
          <w:color w:val="333366"/>
        </w:rPr>
        <w:t>Migrant</w:t>
      </w:r>
      <w:r>
        <w:rPr>
          <w:color w:val="333366"/>
          <w:spacing w:val="-5"/>
        </w:rPr>
        <w:t> </w:t>
      </w:r>
      <w:r>
        <w:rPr>
          <w:color w:val="333366"/>
        </w:rPr>
        <w:t>and</w:t>
      </w:r>
      <w:r>
        <w:rPr>
          <w:color w:val="333366"/>
          <w:spacing w:val="-7"/>
        </w:rPr>
        <w:t> </w:t>
      </w:r>
      <w:r>
        <w:rPr>
          <w:color w:val="333366"/>
        </w:rPr>
        <w:t>Refugee</w:t>
      </w:r>
      <w:r>
        <w:rPr>
          <w:color w:val="333366"/>
          <w:spacing w:val="-7"/>
        </w:rPr>
        <w:t> </w:t>
      </w:r>
      <w:r>
        <w:rPr>
          <w:color w:val="333366"/>
        </w:rPr>
        <w:t>Women</w:t>
      </w:r>
      <w:r>
        <w:rPr>
          <w:color w:val="333366"/>
          <w:spacing w:val="-5"/>
        </w:rPr>
        <w:t> </w:t>
      </w:r>
      <w:r>
        <w:rPr>
          <w:color w:val="333366"/>
        </w:rPr>
        <w:t>and</w:t>
      </w:r>
      <w:r>
        <w:rPr>
          <w:color w:val="333366"/>
          <w:spacing w:val="-7"/>
        </w:rPr>
        <w:t> </w:t>
      </w:r>
      <w:r>
        <w:rPr>
          <w:color w:val="333366"/>
        </w:rPr>
        <w:t>Public</w:t>
      </w:r>
      <w:r>
        <w:rPr>
          <w:color w:val="333366"/>
          <w:spacing w:val="-6"/>
        </w:rPr>
        <w:t> </w:t>
      </w:r>
      <w:r>
        <w:rPr>
          <w:color w:val="333366"/>
          <w:spacing w:val="-2"/>
        </w:rPr>
        <w:t>Housing</w:t>
      </w:r>
    </w:p>
    <w:p>
      <w:pPr>
        <w:pStyle w:val="BodyText"/>
        <w:spacing w:line="276" w:lineRule="auto" w:before="119"/>
        <w:ind w:right="1547"/>
      </w:pPr>
      <w:r>
        <w:rPr/>
        <w:t>Public</w:t>
      </w:r>
      <w:r>
        <w:rPr>
          <w:spacing w:val="-2"/>
        </w:rPr>
        <w:t> </w:t>
      </w:r>
      <w:r>
        <w:rPr/>
        <w:t>housing</w:t>
      </w:r>
      <w:r>
        <w:rPr>
          <w:spacing w:val="-2"/>
        </w:rPr>
        <w:t> </w:t>
      </w:r>
      <w:r>
        <w:rPr/>
        <w:t>residents</w:t>
      </w:r>
      <w:r>
        <w:rPr>
          <w:spacing w:val="-4"/>
        </w:rPr>
        <w:t> </w:t>
      </w:r>
      <w:r>
        <w:rPr/>
        <w:t>are</w:t>
      </w:r>
      <w:r>
        <w:rPr>
          <w:spacing w:val="-2"/>
        </w:rPr>
        <w:t> </w:t>
      </w:r>
      <w:r>
        <w:rPr/>
        <w:t>more</w:t>
      </w:r>
      <w:r>
        <w:rPr>
          <w:spacing w:val="-2"/>
        </w:rPr>
        <w:t> </w:t>
      </w:r>
      <w:r>
        <w:rPr/>
        <w:t>likely</w:t>
      </w:r>
      <w:r>
        <w:rPr>
          <w:spacing w:val="-2"/>
        </w:rPr>
        <w:t> </w:t>
      </w:r>
      <w:r>
        <w:rPr/>
        <w:t>to</w:t>
      </w:r>
      <w:r>
        <w:rPr>
          <w:spacing w:val="-1"/>
        </w:rPr>
        <w:t> </w:t>
      </w:r>
      <w:r>
        <w:rPr/>
        <w:t>be</w:t>
      </w:r>
      <w:r>
        <w:rPr>
          <w:spacing w:val="-2"/>
        </w:rPr>
        <w:t> </w:t>
      </w:r>
      <w:r>
        <w:rPr/>
        <w:t>women</w:t>
      </w:r>
      <w:r>
        <w:rPr>
          <w:spacing w:val="-1"/>
        </w:rPr>
        <w:t> </w:t>
      </w:r>
      <w:r>
        <w:rPr/>
        <w:t>and</w:t>
      </w:r>
      <w:r>
        <w:rPr>
          <w:spacing w:val="-3"/>
        </w:rPr>
        <w:t> </w:t>
      </w:r>
      <w:r>
        <w:rPr/>
        <w:t>are</w:t>
      </w:r>
      <w:r>
        <w:rPr>
          <w:spacing w:val="-1"/>
        </w:rPr>
        <w:t> </w:t>
      </w:r>
      <w:r>
        <w:rPr/>
        <w:t>often</w:t>
      </w:r>
      <w:r>
        <w:rPr>
          <w:spacing w:val="-3"/>
        </w:rPr>
        <w:t> </w:t>
      </w:r>
      <w:r>
        <w:rPr/>
        <w:t>born</w:t>
      </w:r>
      <w:r>
        <w:rPr>
          <w:spacing w:val="-5"/>
        </w:rPr>
        <w:t> </w:t>
      </w:r>
      <w:r>
        <w:rPr/>
        <w:t>overseas.</w:t>
      </w:r>
      <w:r>
        <w:rPr>
          <w:spacing w:val="-2"/>
        </w:rPr>
        <w:t> </w:t>
      </w:r>
      <w:r>
        <w:rPr/>
        <w:t>In</w:t>
      </w:r>
      <w:r>
        <w:rPr>
          <w:spacing w:val="-4"/>
        </w:rPr>
        <w:t> </w:t>
      </w:r>
      <w:r>
        <w:rPr/>
        <w:t>Victoria,</w:t>
      </w:r>
      <w:r>
        <w:rPr>
          <w:spacing w:val="-2"/>
        </w:rPr>
        <w:t> </w:t>
      </w:r>
      <w:r>
        <w:rPr/>
        <w:t>55% of public housing residents are women. A third of Victoria’s public housing residents were born overseas, with 34% speaking a language other than English at home and almost half (47%) of all</w:t>
      </w:r>
    </w:p>
    <w:p>
      <w:pPr>
        <w:pStyle w:val="BodyText"/>
        <w:spacing w:line="276" w:lineRule="auto"/>
        <w:ind w:right="1409"/>
      </w:pPr>
      <w:r>
        <w:rPr/>
        <w:t>migrants in Victoria’s public housing being refugees on humanitarian visas especially from Vietnam and Horn of Africa countries (ABS 2021). For the Flemington and North Melbourne towers, around 69% of residents identify as having overseas ancestry, in stark contrast to surrounding dwellings where residents with Australian ancestry dominate, a trend also seen in Local Government Areas (LGAs)</w:t>
      </w:r>
      <w:r>
        <w:rPr>
          <w:spacing w:val="-1"/>
        </w:rPr>
        <w:t> </w:t>
      </w:r>
      <w:r>
        <w:rPr/>
        <w:t>like</w:t>
      </w:r>
      <w:r>
        <w:rPr>
          <w:spacing w:val="-2"/>
        </w:rPr>
        <w:t> </w:t>
      </w:r>
      <w:r>
        <w:rPr/>
        <w:t>the</w:t>
      </w:r>
      <w:r>
        <w:rPr>
          <w:spacing w:val="-1"/>
        </w:rPr>
        <w:t> </w:t>
      </w:r>
      <w:r>
        <w:rPr/>
        <w:t>City</w:t>
      </w:r>
      <w:r>
        <w:rPr>
          <w:spacing w:val="-3"/>
        </w:rPr>
        <w:t> </w:t>
      </w:r>
      <w:r>
        <w:rPr/>
        <w:t>of</w:t>
      </w:r>
      <w:r>
        <w:rPr>
          <w:spacing w:val="-3"/>
        </w:rPr>
        <w:t> </w:t>
      </w:r>
      <w:r>
        <w:rPr/>
        <w:t>Yarra</w:t>
      </w:r>
      <w:r>
        <w:rPr>
          <w:spacing w:val="-4"/>
        </w:rPr>
        <w:t> </w:t>
      </w:r>
      <w:r>
        <w:rPr/>
        <w:t>and</w:t>
      </w:r>
      <w:r>
        <w:rPr>
          <w:spacing w:val="-3"/>
        </w:rPr>
        <w:t> </w:t>
      </w:r>
      <w:r>
        <w:rPr/>
        <w:t>Stonnington</w:t>
      </w:r>
      <w:r>
        <w:rPr>
          <w:spacing w:val="-2"/>
        </w:rPr>
        <w:t> </w:t>
      </w:r>
      <w:r>
        <w:rPr/>
        <w:t>(OFFICE</w:t>
      </w:r>
      <w:r>
        <w:rPr>
          <w:spacing w:val="-3"/>
        </w:rPr>
        <w:t> </w:t>
      </w:r>
      <w:r>
        <w:rPr/>
        <w:t>2024;</w:t>
      </w:r>
      <w:r>
        <w:rPr>
          <w:spacing w:val="-1"/>
        </w:rPr>
        <w:t> </w:t>
      </w:r>
      <w:r>
        <w:rPr/>
        <w:t>ABS</w:t>
      </w:r>
      <w:r>
        <w:rPr>
          <w:spacing w:val="-5"/>
        </w:rPr>
        <w:t> </w:t>
      </w:r>
      <w:r>
        <w:rPr/>
        <w:t>2021).</w:t>
      </w:r>
      <w:r>
        <w:rPr>
          <w:spacing w:val="-1"/>
        </w:rPr>
        <w:t> </w:t>
      </w:r>
      <w:r>
        <w:rPr/>
        <w:t>Additionally,</w:t>
      </w:r>
      <w:r>
        <w:rPr>
          <w:spacing w:val="-3"/>
        </w:rPr>
        <w:t> </w:t>
      </w:r>
      <w:r>
        <w:rPr/>
        <w:t>older</w:t>
      </w:r>
      <w:r>
        <w:rPr>
          <w:spacing w:val="-1"/>
        </w:rPr>
        <w:t> </w:t>
      </w:r>
      <w:r>
        <w:rPr/>
        <w:t>people and people with disability are also more represented in Victoria’s public housing, with 28% of residents being over the age of 60, and 20% requiring assistance with core activities. In our own engagement with residents of the towers, we noted many elderly residents, and people with disability were also migrant and refugee women. Census data also reflects this, showing that the vast majority of</w:t>
      </w:r>
    </w:p>
    <w:p>
      <w:pPr>
        <w:pStyle w:val="BodyText"/>
        <w:spacing w:line="276" w:lineRule="auto" w:before="2"/>
        <w:ind w:right="1441"/>
      </w:pPr>
      <w:r>
        <w:rPr/>
        <w:t>parents, carers, those with a disability, and those over 60 in Victoria’s public housing are women</w:t>
      </w:r>
      <w:r>
        <w:rPr/>
        <w:t> (ABS 2021). As such, the health and wellbeing needs of residents, as well as the impact of displacement</w:t>
      </w:r>
      <w:r>
        <w:rPr>
          <w:spacing w:val="-4"/>
        </w:rPr>
        <w:t> </w:t>
      </w:r>
      <w:r>
        <w:rPr/>
        <w:t>must</w:t>
      </w:r>
      <w:r>
        <w:rPr>
          <w:spacing w:val="-1"/>
        </w:rPr>
        <w:t> </w:t>
      </w:r>
      <w:r>
        <w:rPr/>
        <w:t>be</w:t>
      </w:r>
      <w:r>
        <w:rPr>
          <w:spacing w:val="-2"/>
        </w:rPr>
        <w:t> </w:t>
      </w:r>
      <w:r>
        <w:rPr/>
        <w:t>considered</w:t>
      </w:r>
      <w:r>
        <w:rPr>
          <w:spacing w:val="-2"/>
        </w:rPr>
        <w:t> </w:t>
      </w:r>
      <w:r>
        <w:rPr/>
        <w:t>in</w:t>
      </w:r>
      <w:r>
        <w:rPr>
          <w:spacing w:val="-3"/>
        </w:rPr>
        <w:t> </w:t>
      </w:r>
      <w:r>
        <w:rPr/>
        <w:t>light</w:t>
      </w:r>
      <w:r>
        <w:rPr>
          <w:spacing w:val="-4"/>
        </w:rPr>
        <w:t> </w:t>
      </w:r>
      <w:r>
        <w:rPr/>
        <w:t>of</w:t>
      </w:r>
      <w:r>
        <w:rPr>
          <w:spacing w:val="-2"/>
        </w:rPr>
        <w:t> </w:t>
      </w:r>
      <w:r>
        <w:rPr/>
        <w:t>the</w:t>
      </w:r>
      <w:r>
        <w:rPr>
          <w:spacing w:val="-4"/>
        </w:rPr>
        <w:t> </w:t>
      </w:r>
      <w:r>
        <w:rPr/>
        <w:t>intersecting challenges</w:t>
      </w:r>
      <w:r>
        <w:rPr>
          <w:spacing w:val="-2"/>
        </w:rPr>
        <w:t> </w:t>
      </w:r>
      <w:r>
        <w:rPr/>
        <w:t>and</w:t>
      </w:r>
      <w:r>
        <w:rPr>
          <w:spacing w:val="-4"/>
        </w:rPr>
        <w:t> </w:t>
      </w:r>
      <w:r>
        <w:rPr/>
        <w:t>conditions</w:t>
      </w:r>
      <w:r>
        <w:rPr>
          <w:spacing w:val="-2"/>
        </w:rPr>
        <w:t> </w:t>
      </w:r>
      <w:r>
        <w:rPr/>
        <w:t>residents</w:t>
      </w:r>
      <w:r>
        <w:rPr>
          <w:spacing w:val="-4"/>
        </w:rPr>
        <w:t> </w:t>
      </w:r>
      <w:r>
        <w:rPr/>
        <w:t>may be facing due to the intersecting affects class, race, gender, ability and migration related discrimination and disadvantage.</w:t>
      </w:r>
    </w:p>
    <w:p>
      <w:pPr>
        <w:pStyle w:val="Heading2"/>
      </w:pPr>
      <w:r>
        <w:rPr>
          <w:color w:val="333366"/>
        </w:rPr>
        <w:t>Response</w:t>
      </w:r>
      <w:r>
        <w:rPr>
          <w:color w:val="333366"/>
          <w:spacing w:val="-4"/>
        </w:rPr>
        <w:t> </w:t>
      </w:r>
      <w:r>
        <w:rPr>
          <w:color w:val="333366"/>
        </w:rPr>
        <w:t>to the</w:t>
      </w:r>
      <w:r>
        <w:rPr>
          <w:color w:val="333366"/>
          <w:spacing w:val="-4"/>
        </w:rPr>
        <w:t> </w:t>
      </w:r>
      <w:r>
        <w:rPr>
          <w:color w:val="333366"/>
        </w:rPr>
        <w:t>Terms</w:t>
      </w:r>
      <w:r>
        <w:rPr>
          <w:color w:val="333366"/>
          <w:spacing w:val="-3"/>
        </w:rPr>
        <w:t> </w:t>
      </w:r>
      <w:r>
        <w:rPr>
          <w:color w:val="333366"/>
        </w:rPr>
        <w:t>of</w:t>
      </w:r>
      <w:r>
        <w:rPr>
          <w:color w:val="333366"/>
          <w:spacing w:val="-1"/>
        </w:rPr>
        <w:t> </w:t>
      </w:r>
      <w:r>
        <w:rPr>
          <w:color w:val="333366"/>
          <w:spacing w:val="-2"/>
        </w:rPr>
        <w:t>Reference</w:t>
      </w:r>
    </w:p>
    <w:p>
      <w:pPr>
        <w:pStyle w:val="Heading3"/>
        <w:numPr>
          <w:ilvl w:val="1"/>
          <w:numId w:val="1"/>
        </w:numPr>
        <w:tabs>
          <w:tab w:pos="1763" w:val="left" w:leader="none"/>
        </w:tabs>
        <w:spacing w:line="276" w:lineRule="auto" w:before="175" w:after="0"/>
        <w:ind w:left="1440" w:right="1510" w:firstLine="0"/>
        <w:jc w:val="left"/>
      </w:pPr>
      <w:r>
        <w:rPr>
          <w:color w:val="333366"/>
        </w:rPr>
        <w:t>The</w:t>
      </w:r>
      <w:r>
        <w:rPr>
          <w:color w:val="333366"/>
          <w:spacing w:val="-4"/>
        </w:rPr>
        <w:t> </w:t>
      </w:r>
      <w:r>
        <w:rPr>
          <w:color w:val="333366"/>
        </w:rPr>
        <w:t>rationale</w:t>
      </w:r>
      <w:r>
        <w:rPr>
          <w:color w:val="333366"/>
          <w:spacing w:val="-4"/>
        </w:rPr>
        <w:t> </w:t>
      </w:r>
      <w:r>
        <w:rPr>
          <w:color w:val="333366"/>
        </w:rPr>
        <w:t>and</w:t>
      </w:r>
      <w:r>
        <w:rPr>
          <w:color w:val="333366"/>
          <w:spacing w:val="-6"/>
        </w:rPr>
        <w:t> </w:t>
      </w:r>
      <w:r>
        <w:rPr>
          <w:color w:val="333366"/>
        </w:rPr>
        <w:t>cost</w:t>
      </w:r>
      <w:r>
        <w:rPr>
          <w:color w:val="333366"/>
          <w:spacing w:val="-4"/>
        </w:rPr>
        <w:t> </w:t>
      </w:r>
      <w:r>
        <w:rPr>
          <w:color w:val="333366"/>
        </w:rPr>
        <w:t>modelling</w:t>
      </w:r>
      <w:r>
        <w:rPr>
          <w:color w:val="333366"/>
          <w:spacing w:val="-4"/>
        </w:rPr>
        <w:t> </w:t>
      </w:r>
      <w:r>
        <w:rPr>
          <w:color w:val="333366"/>
        </w:rPr>
        <w:t>for</w:t>
      </w:r>
      <w:r>
        <w:rPr>
          <w:color w:val="333366"/>
          <w:spacing w:val="-3"/>
        </w:rPr>
        <w:t> </w:t>
      </w:r>
      <w:r>
        <w:rPr>
          <w:color w:val="333366"/>
        </w:rPr>
        <w:t>the</w:t>
      </w:r>
      <w:r>
        <w:rPr>
          <w:color w:val="333366"/>
          <w:spacing w:val="-4"/>
        </w:rPr>
        <w:t> </w:t>
      </w:r>
      <w:r>
        <w:rPr>
          <w:color w:val="333366"/>
        </w:rPr>
        <w:t>decision</w:t>
      </w:r>
      <w:r>
        <w:rPr>
          <w:color w:val="333366"/>
          <w:spacing w:val="-3"/>
        </w:rPr>
        <w:t> </w:t>
      </w:r>
      <w:r>
        <w:rPr>
          <w:color w:val="333366"/>
        </w:rPr>
        <w:t>to</w:t>
      </w:r>
      <w:r>
        <w:rPr>
          <w:color w:val="333366"/>
          <w:spacing w:val="-4"/>
        </w:rPr>
        <w:t> </w:t>
      </w:r>
      <w:r>
        <w:rPr>
          <w:color w:val="333366"/>
        </w:rPr>
        <w:t>demolish</w:t>
      </w:r>
      <w:r>
        <w:rPr>
          <w:color w:val="333366"/>
          <w:spacing w:val="-4"/>
        </w:rPr>
        <w:t> </w:t>
      </w:r>
      <w:r>
        <w:rPr>
          <w:color w:val="333366"/>
        </w:rPr>
        <w:t>and redevelop the 44 high-rise public housing buildings and associated sites (‘the plan’), including alternatives to demolition, such as refurbishment and renovation;</w:t>
      </w:r>
    </w:p>
    <w:p>
      <w:pPr>
        <w:pStyle w:val="BodyText"/>
        <w:spacing w:before="110"/>
        <w:ind w:left="0"/>
        <w:rPr>
          <w:rFonts w:ascii="Segoe UI"/>
          <w:b/>
          <w:sz w:val="24"/>
        </w:rPr>
      </w:pPr>
    </w:p>
    <w:p>
      <w:pPr>
        <w:pStyle w:val="BodyText"/>
        <w:spacing w:line="276" w:lineRule="auto"/>
        <w:ind w:right="1483"/>
      </w:pPr>
      <w:r>
        <w:rPr/>
        <w:t>The government has not shared publicly any feasibility, formal rationale or cost modelling for the decision to demolish the 44 towers, nor any documents showing government consultation with residents prior to the decision to demolish the 44 towers (Keogh 2025). While government communications</w:t>
      </w:r>
      <w:r>
        <w:rPr>
          <w:spacing w:val="-1"/>
        </w:rPr>
        <w:t> </w:t>
      </w:r>
      <w:r>
        <w:rPr/>
        <w:t>suggest that the rationale for demolition is to re-build housing that meets modern standards,</w:t>
      </w:r>
      <w:r>
        <w:rPr>
          <w:spacing w:val="-2"/>
        </w:rPr>
        <w:t> </w:t>
      </w:r>
      <w:r>
        <w:rPr/>
        <w:t>little</w:t>
      </w:r>
      <w:r>
        <w:rPr>
          <w:spacing w:val="-2"/>
        </w:rPr>
        <w:t> </w:t>
      </w:r>
      <w:r>
        <w:rPr/>
        <w:t>public</w:t>
      </w:r>
      <w:r>
        <w:rPr>
          <w:spacing w:val="-2"/>
        </w:rPr>
        <w:t> </w:t>
      </w:r>
      <w:r>
        <w:rPr/>
        <w:t>evidence</w:t>
      </w:r>
      <w:r>
        <w:rPr>
          <w:spacing w:val="-1"/>
        </w:rPr>
        <w:t> </w:t>
      </w:r>
      <w:r>
        <w:rPr/>
        <w:t>has</w:t>
      </w:r>
      <w:r>
        <w:rPr>
          <w:spacing w:val="-2"/>
        </w:rPr>
        <w:t> </w:t>
      </w:r>
      <w:r>
        <w:rPr/>
        <w:t>been</w:t>
      </w:r>
      <w:r>
        <w:rPr>
          <w:spacing w:val="-3"/>
        </w:rPr>
        <w:t> </w:t>
      </w:r>
      <w:r>
        <w:rPr/>
        <w:t>shared</w:t>
      </w:r>
      <w:r>
        <w:rPr>
          <w:spacing w:val="-2"/>
        </w:rPr>
        <w:t> </w:t>
      </w:r>
      <w:r>
        <w:rPr/>
        <w:t>as</w:t>
      </w:r>
      <w:r>
        <w:rPr>
          <w:spacing w:val="-4"/>
        </w:rPr>
        <w:t> </w:t>
      </w:r>
      <w:r>
        <w:rPr/>
        <w:t>to</w:t>
      </w:r>
      <w:r>
        <w:rPr>
          <w:spacing w:val="-3"/>
        </w:rPr>
        <w:t> </w:t>
      </w:r>
      <w:r>
        <w:rPr/>
        <w:t>why</w:t>
      </w:r>
      <w:r>
        <w:rPr>
          <w:spacing w:val="-4"/>
        </w:rPr>
        <w:t> </w:t>
      </w:r>
      <w:r>
        <w:rPr/>
        <w:t>existing</w:t>
      </w:r>
      <w:r>
        <w:rPr>
          <w:spacing w:val="-5"/>
        </w:rPr>
        <w:t> </w:t>
      </w:r>
      <w:r>
        <w:rPr/>
        <w:t>towers</w:t>
      </w:r>
      <w:r>
        <w:rPr>
          <w:spacing w:val="-5"/>
        </w:rPr>
        <w:t> </w:t>
      </w:r>
      <w:r>
        <w:rPr/>
        <w:t>cannot</w:t>
      </w:r>
      <w:r>
        <w:rPr>
          <w:spacing w:val="-2"/>
        </w:rPr>
        <w:t> </w:t>
      </w:r>
      <w:r>
        <w:rPr/>
        <w:t>be</w:t>
      </w:r>
      <w:r>
        <w:rPr>
          <w:spacing w:val="-2"/>
        </w:rPr>
        <w:t> </w:t>
      </w:r>
      <w:r>
        <w:rPr/>
        <w:t>refurbished to meet these standards. According to OFFICE (2024), a not-for-profit design and research practice of architects, landscapers, urban designers and researchers, it is feasible to retrofit and infill the</w:t>
      </w:r>
    </w:p>
    <w:p>
      <w:pPr>
        <w:pStyle w:val="BodyText"/>
        <w:spacing w:before="1"/>
      </w:pPr>
      <w:r>
        <w:rPr/>
        <w:t>Flemington</w:t>
      </w:r>
      <w:r>
        <w:rPr>
          <w:spacing w:val="-7"/>
        </w:rPr>
        <w:t> </w:t>
      </w:r>
      <w:r>
        <w:rPr/>
        <w:t>Public</w:t>
      </w:r>
      <w:r>
        <w:rPr>
          <w:spacing w:val="-4"/>
        </w:rPr>
        <w:t> </w:t>
      </w:r>
      <w:r>
        <w:rPr/>
        <w:t>Housing</w:t>
      </w:r>
      <w:r>
        <w:rPr>
          <w:spacing w:val="-7"/>
        </w:rPr>
        <w:t> </w:t>
      </w:r>
      <w:r>
        <w:rPr/>
        <w:t>Towers</w:t>
      </w:r>
      <w:r>
        <w:rPr>
          <w:spacing w:val="-6"/>
        </w:rPr>
        <w:t> </w:t>
      </w:r>
      <w:r>
        <w:rPr/>
        <w:t>estate</w:t>
      </w:r>
      <w:r>
        <w:rPr>
          <w:spacing w:val="-4"/>
        </w:rPr>
        <w:t> </w:t>
      </w:r>
      <w:r>
        <w:rPr/>
        <w:t>to</w:t>
      </w:r>
      <w:r>
        <w:rPr>
          <w:spacing w:val="-5"/>
        </w:rPr>
        <w:t> </w:t>
      </w:r>
      <w:r>
        <w:rPr/>
        <w:t>meet</w:t>
      </w:r>
      <w:r>
        <w:rPr>
          <w:spacing w:val="-4"/>
        </w:rPr>
        <w:t> </w:t>
      </w:r>
      <w:r>
        <w:rPr/>
        <w:t>Homes</w:t>
      </w:r>
      <w:r>
        <w:rPr>
          <w:spacing w:val="-6"/>
        </w:rPr>
        <w:t> </w:t>
      </w:r>
      <w:r>
        <w:rPr/>
        <w:t>Victoria’s</w:t>
      </w:r>
      <w:r>
        <w:rPr>
          <w:spacing w:val="-5"/>
        </w:rPr>
        <w:t> </w:t>
      </w:r>
      <w:r>
        <w:rPr/>
        <w:t>objectives</w:t>
      </w:r>
      <w:r>
        <w:rPr>
          <w:spacing w:val="-4"/>
        </w:rPr>
        <w:t> </w:t>
      </w:r>
      <w:r>
        <w:rPr/>
        <w:t>such</w:t>
      </w:r>
      <w:r>
        <w:rPr>
          <w:spacing w:val="-4"/>
        </w:rPr>
        <w:t> </w:t>
      </w:r>
      <w:r>
        <w:rPr/>
        <w:t>as</w:t>
      </w:r>
      <w:r>
        <w:rPr>
          <w:spacing w:val="-3"/>
        </w:rPr>
        <w:t> </w:t>
      </w:r>
      <w:r>
        <w:rPr>
          <w:spacing w:val="-2"/>
        </w:rPr>
        <w:t>energy</w:t>
      </w:r>
    </w:p>
    <w:p>
      <w:pPr>
        <w:pStyle w:val="BodyText"/>
        <w:spacing w:before="39"/>
      </w:pPr>
      <w:r>
        <w:rPr/>
        <w:t>efficiency,</w:t>
      </w:r>
      <w:r>
        <w:rPr>
          <w:spacing w:val="-8"/>
        </w:rPr>
        <w:t> </w:t>
      </w:r>
      <w:r>
        <w:rPr/>
        <w:t>liveability</w:t>
      </w:r>
      <w:r>
        <w:rPr>
          <w:spacing w:val="-6"/>
        </w:rPr>
        <w:t> </w:t>
      </w:r>
      <w:r>
        <w:rPr/>
        <w:t>standards,</w:t>
      </w:r>
      <w:r>
        <w:rPr>
          <w:spacing w:val="-6"/>
        </w:rPr>
        <w:t> </w:t>
      </w:r>
      <w:r>
        <w:rPr/>
        <w:t>structural</w:t>
      </w:r>
      <w:r>
        <w:rPr>
          <w:spacing w:val="-9"/>
        </w:rPr>
        <w:t> </w:t>
      </w:r>
      <w:r>
        <w:rPr/>
        <w:t>integrity,</w:t>
      </w:r>
      <w:r>
        <w:rPr>
          <w:spacing w:val="-5"/>
        </w:rPr>
        <w:t> </w:t>
      </w:r>
      <w:r>
        <w:rPr/>
        <w:t>and</w:t>
      </w:r>
      <w:r>
        <w:rPr>
          <w:spacing w:val="-6"/>
        </w:rPr>
        <w:t> </w:t>
      </w:r>
      <w:r>
        <w:rPr/>
        <w:t>additional</w:t>
      </w:r>
      <w:r>
        <w:rPr>
          <w:spacing w:val="-6"/>
        </w:rPr>
        <w:t> </w:t>
      </w:r>
      <w:r>
        <w:rPr/>
        <w:t>housing</w:t>
      </w:r>
      <w:r>
        <w:rPr>
          <w:spacing w:val="-6"/>
        </w:rPr>
        <w:t> </w:t>
      </w:r>
      <w:r>
        <w:rPr/>
        <w:t>capacity,</w:t>
      </w:r>
      <w:r>
        <w:rPr>
          <w:spacing w:val="-7"/>
        </w:rPr>
        <w:t> </w:t>
      </w:r>
      <w:r>
        <w:rPr>
          <w:spacing w:val="-2"/>
        </w:rPr>
        <w:t>without</w:t>
      </w:r>
    </w:p>
    <w:p>
      <w:pPr>
        <w:pStyle w:val="BodyText"/>
        <w:spacing w:after="0"/>
        <w:sectPr>
          <w:pgSz w:w="11910" w:h="16840"/>
          <w:pgMar w:header="0" w:footer="891" w:top="1380" w:bottom="1080" w:left="0" w:right="0"/>
        </w:sectPr>
      </w:pPr>
    </w:p>
    <w:p>
      <w:pPr>
        <w:pStyle w:val="BodyText"/>
        <w:spacing w:line="276" w:lineRule="auto" w:before="41"/>
        <w:ind w:right="1547"/>
      </w:pPr>
      <w:r>
        <w:rPr/>
        <w:t>displacing</w:t>
      </w:r>
      <w:r>
        <w:rPr>
          <w:spacing w:val="-2"/>
        </w:rPr>
        <w:t> </w:t>
      </w:r>
      <w:r>
        <w:rPr/>
        <w:t>residents.</w:t>
      </w:r>
      <w:r>
        <w:rPr>
          <w:spacing w:val="-4"/>
        </w:rPr>
        <w:t> </w:t>
      </w:r>
      <w:r>
        <w:rPr/>
        <w:t>While</w:t>
      </w:r>
      <w:r>
        <w:rPr>
          <w:spacing w:val="-3"/>
        </w:rPr>
        <w:t> </w:t>
      </w:r>
      <w:r>
        <w:rPr/>
        <w:t>Weijie</w:t>
      </w:r>
      <w:r>
        <w:rPr>
          <w:spacing w:val="-1"/>
        </w:rPr>
        <w:t> </w:t>
      </w:r>
      <w:r>
        <w:rPr/>
        <w:t>Hu</w:t>
      </w:r>
      <w:r>
        <w:rPr>
          <w:spacing w:val="-4"/>
        </w:rPr>
        <w:t> </w:t>
      </w:r>
      <w:r>
        <w:rPr/>
        <w:t>(2024)</w:t>
      </w:r>
      <w:r>
        <w:rPr>
          <w:spacing w:val="-1"/>
        </w:rPr>
        <w:t> </w:t>
      </w:r>
      <w:r>
        <w:rPr/>
        <w:t>has</w:t>
      </w:r>
      <w:r>
        <w:rPr>
          <w:spacing w:val="-4"/>
        </w:rPr>
        <w:t> </w:t>
      </w:r>
      <w:r>
        <w:rPr/>
        <w:t>also</w:t>
      </w:r>
      <w:r>
        <w:rPr>
          <w:spacing w:val="-3"/>
        </w:rPr>
        <w:t> </w:t>
      </w:r>
      <w:r>
        <w:rPr/>
        <w:t>argued</w:t>
      </w:r>
      <w:r>
        <w:rPr>
          <w:spacing w:val="-1"/>
        </w:rPr>
        <w:t> </w:t>
      </w:r>
      <w:r>
        <w:rPr/>
        <w:t>that</w:t>
      </w:r>
      <w:r>
        <w:rPr>
          <w:spacing w:val="-1"/>
        </w:rPr>
        <w:t> </w:t>
      </w:r>
      <w:r>
        <w:rPr/>
        <w:t>an</w:t>
      </w:r>
      <w:r>
        <w:rPr>
          <w:spacing w:val="-2"/>
        </w:rPr>
        <w:t> </w:t>
      </w:r>
      <w:r>
        <w:rPr/>
        <w:t>adaptive</w:t>
      </w:r>
      <w:r>
        <w:rPr>
          <w:spacing w:val="-3"/>
        </w:rPr>
        <w:t> </w:t>
      </w:r>
      <w:r>
        <w:rPr/>
        <w:t>redesign</w:t>
      </w:r>
      <w:r>
        <w:rPr>
          <w:spacing w:val="-2"/>
        </w:rPr>
        <w:t> </w:t>
      </w:r>
      <w:r>
        <w:rPr/>
        <w:t>approach</w:t>
      </w:r>
      <w:r>
        <w:rPr>
          <w:spacing w:val="-2"/>
        </w:rPr>
        <w:t> </w:t>
      </w:r>
      <w:r>
        <w:rPr/>
        <w:t>is possible for the towers in order to minimise impact on residents. With this in mind, consultation </w:t>
      </w:r>
      <w:r>
        <w:rPr>
          <w:i/>
        </w:rPr>
        <w:t>prior </w:t>
      </w:r>
      <w:r>
        <w:rPr/>
        <w:t>to the decision to demolish the 44 towers should have taken into account residents’ preferences for less intrusive options.</w:t>
      </w:r>
    </w:p>
    <w:p>
      <w:pPr>
        <w:pStyle w:val="BodyText"/>
        <w:spacing w:line="276" w:lineRule="auto" w:before="121"/>
        <w:ind w:right="1483"/>
      </w:pPr>
      <w:r>
        <w:rPr/>
        <w:t>Further, given the significant impacts both demolition and displacement are likely to have on residents, lack of consultation with residents </w:t>
      </w:r>
      <w:r>
        <w:rPr>
          <w:i/>
        </w:rPr>
        <w:t>prior </w:t>
      </w:r>
      <w:r>
        <w:rPr/>
        <w:t>to the decision to demolish the 44 towers raises significant concerns that the health and wellbeing of migrant and refugee residents has not been taken into account in the making of this decision. Without consulting with residents prior to the decision, the long-term and short-term impacts on the diverse and complex health and wellbeing needs</w:t>
      </w:r>
      <w:r>
        <w:rPr>
          <w:spacing w:val="-4"/>
        </w:rPr>
        <w:t> </w:t>
      </w:r>
      <w:r>
        <w:rPr/>
        <w:t>of</w:t>
      </w:r>
      <w:r>
        <w:rPr>
          <w:spacing w:val="-2"/>
        </w:rPr>
        <w:t> </w:t>
      </w:r>
      <w:r>
        <w:rPr/>
        <w:t>this</w:t>
      </w:r>
      <w:r>
        <w:rPr>
          <w:spacing w:val="-5"/>
        </w:rPr>
        <w:t> </w:t>
      </w:r>
      <w:r>
        <w:rPr/>
        <w:t>mostly</w:t>
      </w:r>
      <w:r>
        <w:rPr>
          <w:spacing w:val="-4"/>
        </w:rPr>
        <w:t> </w:t>
      </w:r>
      <w:r>
        <w:rPr/>
        <w:t>migrant</w:t>
      </w:r>
      <w:r>
        <w:rPr>
          <w:spacing w:val="-2"/>
        </w:rPr>
        <w:t> </w:t>
      </w:r>
      <w:r>
        <w:rPr/>
        <w:t>and</w:t>
      </w:r>
      <w:r>
        <w:rPr>
          <w:spacing w:val="-3"/>
        </w:rPr>
        <w:t> </w:t>
      </w:r>
      <w:r>
        <w:rPr/>
        <w:t>mostly</w:t>
      </w:r>
      <w:r>
        <w:rPr>
          <w:spacing w:val="-2"/>
        </w:rPr>
        <w:t> </w:t>
      </w:r>
      <w:r>
        <w:rPr/>
        <w:t>female</w:t>
      </w:r>
      <w:r>
        <w:rPr>
          <w:spacing w:val="-2"/>
        </w:rPr>
        <w:t> </w:t>
      </w:r>
      <w:r>
        <w:rPr/>
        <w:t>residential</w:t>
      </w:r>
      <w:r>
        <w:rPr>
          <w:spacing w:val="-3"/>
        </w:rPr>
        <w:t> </w:t>
      </w:r>
      <w:r>
        <w:rPr/>
        <w:t>population</w:t>
      </w:r>
      <w:r>
        <w:rPr>
          <w:spacing w:val="-2"/>
        </w:rPr>
        <w:t> </w:t>
      </w:r>
      <w:r>
        <w:rPr/>
        <w:t>cannot</w:t>
      </w:r>
      <w:r>
        <w:rPr>
          <w:spacing w:val="-2"/>
        </w:rPr>
        <w:t> </w:t>
      </w:r>
      <w:r>
        <w:rPr/>
        <w:t>have</w:t>
      </w:r>
      <w:r>
        <w:rPr>
          <w:spacing w:val="-2"/>
        </w:rPr>
        <w:t> </w:t>
      </w:r>
      <w:r>
        <w:rPr/>
        <w:t>been</w:t>
      </w:r>
      <w:r>
        <w:rPr>
          <w:spacing w:val="-3"/>
        </w:rPr>
        <w:t> </w:t>
      </w:r>
      <w:r>
        <w:rPr/>
        <w:t>adequately </w:t>
      </w:r>
      <w:r>
        <w:rPr>
          <w:spacing w:val="-2"/>
        </w:rPr>
        <w:t>considered.</w:t>
      </w:r>
    </w:p>
    <w:p>
      <w:pPr>
        <w:pStyle w:val="Heading3"/>
        <w:numPr>
          <w:ilvl w:val="1"/>
          <w:numId w:val="1"/>
        </w:numPr>
        <w:tabs>
          <w:tab w:pos="1747" w:val="left" w:leader="none"/>
        </w:tabs>
        <w:spacing w:line="276" w:lineRule="auto" w:before="121" w:after="0"/>
        <w:ind w:left="1440" w:right="1490" w:firstLine="0"/>
        <w:jc w:val="left"/>
      </w:pPr>
      <w:r>
        <w:rPr>
          <w:color w:val="333366"/>
        </w:rPr>
        <w:t>The impact of the plan, including the compulsory relocation and displacement</w:t>
      </w:r>
      <w:r>
        <w:rPr>
          <w:color w:val="333366"/>
          <w:spacing w:val="-4"/>
        </w:rPr>
        <w:t> </w:t>
      </w:r>
      <w:r>
        <w:rPr>
          <w:color w:val="333366"/>
        </w:rPr>
        <w:t>of</w:t>
      </w:r>
      <w:r>
        <w:rPr>
          <w:color w:val="333366"/>
          <w:spacing w:val="-5"/>
        </w:rPr>
        <w:t> </w:t>
      </w:r>
      <w:r>
        <w:rPr>
          <w:color w:val="333366"/>
        </w:rPr>
        <w:t>public</w:t>
      </w:r>
      <w:r>
        <w:rPr>
          <w:color w:val="333366"/>
          <w:spacing w:val="-4"/>
        </w:rPr>
        <w:t> </w:t>
      </w:r>
      <w:r>
        <w:rPr>
          <w:color w:val="333366"/>
        </w:rPr>
        <w:t>housing</w:t>
      </w:r>
      <w:r>
        <w:rPr>
          <w:color w:val="333366"/>
          <w:spacing w:val="-4"/>
        </w:rPr>
        <w:t> </w:t>
      </w:r>
      <w:r>
        <w:rPr>
          <w:color w:val="333366"/>
        </w:rPr>
        <w:t>residents</w:t>
      </w:r>
      <w:r>
        <w:rPr>
          <w:color w:val="333366"/>
          <w:spacing w:val="-6"/>
        </w:rPr>
        <w:t> </w:t>
      </w:r>
      <w:r>
        <w:rPr>
          <w:color w:val="333366"/>
        </w:rPr>
        <w:t>on</w:t>
      </w:r>
      <w:r>
        <w:rPr>
          <w:color w:val="333366"/>
          <w:spacing w:val="-3"/>
        </w:rPr>
        <w:t> </w:t>
      </w:r>
      <w:r>
        <w:rPr>
          <w:color w:val="333366"/>
        </w:rPr>
        <w:t>the</w:t>
      </w:r>
      <w:r>
        <w:rPr>
          <w:color w:val="333366"/>
          <w:spacing w:val="-4"/>
        </w:rPr>
        <w:t> </w:t>
      </w:r>
      <w:r>
        <w:rPr>
          <w:color w:val="333366"/>
        </w:rPr>
        <w:t>future</w:t>
      </w:r>
      <w:r>
        <w:rPr>
          <w:color w:val="333366"/>
          <w:spacing w:val="-6"/>
        </w:rPr>
        <w:t> </w:t>
      </w:r>
      <w:r>
        <w:rPr>
          <w:color w:val="333366"/>
        </w:rPr>
        <w:t>net</w:t>
      </w:r>
      <w:r>
        <w:rPr>
          <w:color w:val="333366"/>
          <w:spacing w:val="-4"/>
        </w:rPr>
        <w:t> </w:t>
      </w:r>
      <w:r>
        <w:rPr>
          <w:color w:val="333366"/>
        </w:rPr>
        <w:t>availability</w:t>
      </w:r>
      <w:r>
        <w:rPr>
          <w:color w:val="333366"/>
          <w:spacing w:val="-3"/>
        </w:rPr>
        <w:t> </w:t>
      </w:r>
      <w:r>
        <w:rPr>
          <w:color w:val="333366"/>
        </w:rPr>
        <w:t>of</w:t>
      </w:r>
      <w:r>
        <w:rPr>
          <w:color w:val="333366"/>
          <w:spacing w:val="-5"/>
        </w:rPr>
        <w:t> </w:t>
      </w:r>
      <w:r>
        <w:rPr>
          <w:color w:val="333366"/>
        </w:rPr>
        <w:t>public community housing and the existing decanting plans and the department estimates on the number of people who will permanently leave the area being </w:t>
      </w:r>
      <w:r>
        <w:rPr>
          <w:color w:val="333366"/>
          <w:spacing w:val="-2"/>
        </w:rPr>
        <w:t>developed.</w:t>
      </w:r>
    </w:p>
    <w:p>
      <w:pPr>
        <w:pStyle w:val="BodyText"/>
        <w:spacing w:before="109"/>
        <w:ind w:left="0"/>
        <w:rPr>
          <w:rFonts w:ascii="Segoe UI"/>
          <w:b/>
          <w:sz w:val="24"/>
        </w:rPr>
      </w:pPr>
    </w:p>
    <w:p>
      <w:pPr>
        <w:pStyle w:val="Heading4"/>
        <w:spacing w:line="276" w:lineRule="auto"/>
        <w:ind w:right="1547"/>
      </w:pPr>
      <w:r>
        <w:rPr>
          <w:color w:val="333366"/>
        </w:rPr>
        <w:t>Impact</w:t>
      </w:r>
      <w:r>
        <w:rPr>
          <w:color w:val="333366"/>
          <w:spacing w:val="-4"/>
        </w:rPr>
        <w:t> </w:t>
      </w:r>
      <w:r>
        <w:rPr>
          <w:color w:val="333366"/>
        </w:rPr>
        <w:t>of</w:t>
      </w:r>
      <w:r>
        <w:rPr>
          <w:color w:val="333366"/>
          <w:spacing w:val="-5"/>
        </w:rPr>
        <w:t> </w:t>
      </w:r>
      <w:r>
        <w:rPr>
          <w:color w:val="333366"/>
        </w:rPr>
        <w:t>displacement</w:t>
      </w:r>
      <w:r>
        <w:rPr>
          <w:color w:val="333366"/>
          <w:spacing w:val="-3"/>
        </w:rPr>
        <w:t> </w:t>
      </w:r>
      <w:r>
        <w:rPr>
          <w:color w:val="333366"/>
        </w:rPr>
        <w:t>on</w:t>
      </w:r>
      <w:r>
        <w:rPr>
          <w:color w:val="333366"/>
          <w:spacing w:val="-3"/>
        </w:rPr>
        <w:t> </w:t>
      </w:r>
      <w:r>
        <w:rPr>
          <w:color w:val="333366"/>
        </w:rPr>
        <w:t>health</w:t>
      </w:r>
      <w:r>
        <w:rPr>
          <w:color w:val="333366"/>
          <w:spacing w:val="-4"/>
        </w:rPr>
        <w:t> </w:t>
      </w:r>
      <w:r>
        <w:rPr>
          <w:color w:val="333366"/>
        </w:rPr>
        <w:t>and</w:t>
      </w:r>
      <w:r>
        <w:rPr>
          <w:color w:val="333366"/>
          <w:spacing w:val="-3"/>
        </w:rPr>
        <w:t> </w:t>
      </w:r>
      <w:r>
        <w:rPr>
          <w:color w:val="333366"/>
        </w:rPr>
        <w:t>wellbeing</w:t>
      </w:r>
      <w:r>
        <w:rPr>
          <w:color w:val="333366"/>
          <w:spacing w:val="-2"/>
        </w:rPr>
        <w:t> </w:t>
      </w:r>
      <w:r>
        <w:rPr>
          <w:color w:val="333366"/>
        </w:rPr>
        <w:t>of</w:t>
      </w:r>
      <w:r>
        <w:rPr>
          <w:color w:val="333366"/>
          <w:spacing w:val="-5"/>
        </w:rPr>
        <w:t> </w:t>
      </w:r>
      <w:r>
        <w:rPr>
          <w:color w:val="333366"/>
        </w:rPr>
        <w:t>migrant</w:t>
      </w:r>
      <w:r>
        <w:rPr>
          <w:color w:val="333366"/>
          <w:spacing w:val="-3"/>
        </w:rPr>
        <w:t> </w:t>
      </w:r>
      <w:r>
        <w:rPr>
          <w:color w:val="333366"/>
        </w:rPr>
        <w:t>and</w:t>
      </w:r>
      <w:r>
        <w:rPr>
          <w:color w:val="333366"/>
          <w:spacing w:val="-4"/>
        </w:rPr>
        <w:t> </w:t>
      </w:r>
      <w:r>
        <w:rPr>
          <w:color w:val="333366"/>
        </w:rPr>
        <w:t>refugee</w:t>
      </w:r>
      <w:r>
        <w:rPr>
          <w:color w:val="333366"/>
          <w:spacing w:val="-6"/>
        </w:rPr>
        <w:t> </w:t>
      </w:r>
      <w:r>
        <w:rPr>
          <w:color w:val="333366"/>
        </w:rPr>
        <w:t>and</w:t>
      </w:r>
      <w:r>
        <w:rPr>
          <w:color w:val="333366"/>
          <w:spacing w:val="-3"/>
        </w:rPr>
        <w:t> </w:t>
      </w:r>
      <w:r>
        <w:rPr>
          <w:color w:val="333366"/>
        </w:rPr>
        <w:t>women </w:t>
      </w:r>
      <w:r>
        <w:rPr>
          <w:color w:val="333366"/>
          <w:spacing w:val="-2"/>
        </w:rPr>
        <w:t>residents</w:t>
      </w:r>
    </w:p>
    <w:p>
      <w:pPr>
        <w:pStyle w:val="BodyText"/>
        <w:spacing w:line="276" w:lineRule="auto"/>
        <w:ind w:right="1851"/>
        <w:jc w:val="both"/>
      </w:pPr>
      <w:r>
        <w:rPr/>
        <w:t>Several</w:t>
      </w:r>
      <w:r>
        <w:rPr>
          <w:spacing w:val="-1"/>
        </w:rPr>
        <w:t> </w:t>
      </w:r>
      <w:r>
        <w:rPr/>
        <w:t>publications have documented</w:t>
      </w:r>
      <w:r>
        <w:rPr>
          <w:spacing w:val="-1"/>
        </w:rPr>
        <w:t> </w:t>
      </w:r>
      <w:r>
        <w:rPr/>
        <w:t>the role</w:t>
      </w:r>
      <w:r>
        <w:rPr>
          <w:spacing w:val="-1"/>
        </w:rPr>
        <w:t> </w:t>
      </w:r>
      <w:r>
        <w:rPr/>
        <w:t>of Melbourne’s public housing towers as unique hubs where diverse residents develop strong social bonds, a sense of belonging and a tight-knit community (Carrasco</w:t>
      </w:r>
      <w:r>
        <w:rPr>
          <w:spacing w:val="-1"/>
        </w:rPr>
        <w:t> </w:t>
      </w:r>
      <w:r>
        <w:rPr/>
        <w:t>et.</w:t>
      </w:r>
      <w:r>
        <w:rPr>
          <w:spacing w:val="-2"/>
        </w:rPr>
        <w:t> </w:t>
      </w:r>
      <w:r>
        <w:rPr/>
        <w:t>al</w:t>
      </w:r>
      <w:r>
        <w:rPr>
          <w:spacing w:val="-4"/>
        </w:rPr>
        <w:t> </w:t>
      </w:r>
      <w:r>
        <w:rPr/>
        <w:t>2023;</w:t>
      </w:r>
      <w:r>
        <w:rPr>
          <w:spacing w:val="-2"/>
        </w:rPr>
        <w:t> </w:t>
      </w:r>
      <w:r>
        <w:rPr/>
        <w:t>Button</w:t>
      </w:r>
      <w:r>
        <w:rPr>
          <w:spacing w:val="-5"/>
        </w:rPr>
        <w:t> </w:t>
      </w:r>
      <w:r>
        <w:rPr/>
        <w:t>&amp;</w:t>
      </w:r>
      <w:r>
        <w:rPr>
          <w:spacing w:val="-1"/>
        </w:rPr>
        <w:t> </w:t>
      </w:r>
      <w:r>
        <w:rPr/>
        <w:t>Szego</w:t>
      </w:r>
      <w:r>
        <w:rPr>
          <w:spacing w:val="-1"/>
        </w:rPr>
        <w:t> </w:t>
      </w:r>
      <w:r>
        <w:rPr/>
        <w:t>2020;</w:t>
      </w:r>
      <w:r>
        <w:rPr>
          <w:spacing w:val="-2"/>
        </w:rPr>
        <w:t> </w:t>
      </w:r>
      <w:r>
        <w:rPr/>
        <w:t>Hu</w:t>
      </w:r>
      <w:r>
        <w:rPr>
          <w:spacing w:val="-3"/>
        </w:rPr>
        <w:t> </w:t>
      </w:r>
      <w:r>
        <w:rPr/>
        <w:t>2024).</w:t>
      </w:r>
      <w:r>
        <w:rPr>
          <w:spacing w:val="-5"/>
        </w:rPr>
        <w:t> </w:t>
      </w:r>
      <w:r>
        <w:rPr/>
        <w:t>This</w:t>
      </w:r>
      <w:r>
        <w:rPr>
          <w:spacing w:val="-2"/>
        </w:rPr>
        <w:t> </w:t>
      </w:r>
      <w:r>
        <w:rPr/>
        <w:t>has</w:t>
      </w:r>
      <w:r>
        <w:rPr>
          <w:spacing w:val="-2"/>
        </w:rPr>
        <w:t> </w:t>
      </w:r>
      <w:r>
        <w:rPr/>
        <w:t>also</w:t>
      </w:r>
      <w:r>
        <w:rPr>
          <w:spacing w:val="-1"/>
        </w:rPr>
        <w:t> </w:t>
      </w:r>
      <w:r>
        <w:rPr/>
        <w:t>been</w:t>
      </w:r>
      <w:r>
        <w:rPr>
          <w:spacing w:val="-2"/>
        </w:rPr>
        <w:t> </w:t>
      </w:r>
      <w:r>
        <w:rPr/>
        <w:t>reflected</w:t>
      </w:r>
      <w:r>
        <w:rPr>
          <w:spacing w:val="-3"/>
        </w:rPr>
        <w:t> </w:t>
      </w:r>
      <w:r>
        <w:rPr/>
        <w:t>in Homes Victoria’s own survey of public housing residents (2022).</w:t>
      </w:r>
    </w:p>
    <w:p>
      <w:pPr>
        <w:pStyle w:val="BodyText"/>
        <w:spacing w:line="276" w:lineRule="auto" w:before="121"/>
        <w:ind w:right="1483"/>
      </w:pPr>
      <w:r>
        <w:rPr/>
        <w:t>The</w:t>
      </w:r>
      <w:r>
        <w:rPr>
          <w:spacing w:val="-4"/>
        </w:rPr>
        <w:t> </w:t>
      </w:r>
      <w:r>
        <w:rPr/>
        <w:t>mutual</w:t>
      </w:r>
      <w:r>
        <w:rPr>
          <w:spacing w:val="-3"/>
        </w:rPr>
        <w:t> </w:t>
      </w:r>
      <w:r>
        <w:rPr/>
        <w:t>support</w:t>
      </w:r>
      <w:r>
        <w:rPr>
          <w:spacing w:val="-2"/>
        </w:rPr>
        <w:t> </w:t>
      </w:r>
      <w:r>
        <w:rPr/>
        <w:t>networks</w:t>
      </w:r>
      <w:r>
        <w:rPr>
          <w:spacing w:val="-2"/>
        </w:rPr>
        <w:t> </w:t>
      </w:r>
      <w:r>
        <w:rPr/>
        <w:t>developed</w:t>
      </w:r>
      <w:r>
        <w:rPr>
          <w:spacing w:val="-2"/>
        </w:rPr>
        <w:t> </w:t>
      </w:r>
      <w:r>
        <w:rPr/>
        <w:t>in</w:t>
      </w:r>
      <w:r>
        <w:rPr>
          <w:spacing w:val="-3"/>
        </w:rPr>
        <w:t> </w:t>
      </w:r>
      <w:r>
        <w:rPr/>
        <w:t>the</w:t>
      </w:r>
      <w:r>
        <w:rPr>
          <w:spacing w:val="-2"/>
        </w:rPr>
        <w:t> </w:t>
      </w:r>
      <w:r>
        <w:rPr/>
        <w:t>towers</w:t>
      </w:r>
      <w:r>
        <w:rPr>
          <w:spacing w:val="-2"/>
        </w:rPr>
        <w:t> </w:t>
      </w:r>
      <w:r>
        <w:rPr/>
        <w:t>are</w:t>
      </w:r>
      <w:r>
        <w:rPr>
          <w:spacing w:val="-1"/>
        </w:rPr>
        <w:t> </w:t>
      </w:r>
      <w:r>
        <w:rPr/>
        <w:t>important protective</w:t>
      </w:r>
      <w:r>
        <w:rPr>
          <w:spacing w:val="-4"/>
        </w:rPr>
        <w:t> </w:t>
      </w:r>
      <w:r>
        <w:rPr/>
        <w:t>factors</w:t>
      </w:r>
      <w:r>
        <w:rPr>
          <w:spacing w:val="-3"/>
        </w:rPr>
        <w:t> </w:t>
      </w:r>
      <w:r>
        <w:rPr/>
        <w:t>for</w:t>
      </w:r>
      <w:r>
        <w:rPr>
          <w:spacing w:val="-7"/>
        </w:rPr>
        <w:t> </w:t>
      </w:r>
      <w:r>
        <w:rPr/>
        <w:t>migrants who may face barriers to belonging and social inclusion due to racism and other structural barriers including</w:t>
      </w:r>
      <w:r>
        <w:rPr>
          <w:spacing w:val="-3"/>
        </w:rPr>
        <w:t> </w:t>
      </w:r>
      <w:r>
        <w:rPr/>
        <w:t>lack</w:t>
      </w:r>
      <w:r>
        <w:rPr>
          <w:spacing w:val="-2"/>
        </w:rPr>
        <w:t> </w:t>
      </w:r>
      <w:r>
        <w:rPr/>
        <w:t>of</w:t>
      </w:r>
      <w:r>
        <w:rPr>
          <w:spacing w:val="-4"/>
        </w:rPr>
        <w:t> </w:t>
      </w:r>
      <w:r>
        <w:rPr/>
        <w:t>access</w:t>
      </w:r>
      <w:r>
        <w:rPr>
          <w:spacing w:val="-2"/>
        </w:rPr>
        <w:t> </w:t>
      </w:r>
      <w:r>
        <w:rPr/>
        <w:t>to</w:t>
      </w:r>
      <w:r>
        <w:rPr>
          <w:spacing w:val="-1"/>
        </w:rPr>
        <w:t> </w:t>
      </w:r>
      <w:r>
        <w:rPr/>
        <w:t>local</w:t>
      </w:r>
      <w:r>
        <w:rPr>
          <w:spacing w:val="-2"/>
        </w:rPr>
        <w:t> </w:t>
      </w:r>
      <w:r>
        <w:rPr/>
        <w:t>support</w:t>
      </w:r>
      <w:r>
        <w:rPr>
          <w:spacing w:val="-2"/>
        </w:rPr>
        <w:t> </w:t>
      </w:r>
      <w:r>
        <w:rPr/>
        <w:t>networks,</w:t>
      </w:r>
      <w:r>
        <w:rPr>
          <w:spacing w:val="-4"/>
        </w:rPr>
        <w:t> </w:t>
      </w:r>
      <w:r>
        <w:rPr/>
        <w:t>employment</w:t>
      </w:r>
      <w:r>
        <w:rPr>
          <w:spacing w:val="-5"/>
        </w:rPr>
        <w:t> </w:t>
      </w:r>
      <w:r>
        <w:rPr/>
        <w:t>networks,</w:t>
      </w:r>
      <w:r>
        <w:rPr>
          <w:spacing w:val="-4"/>
        </w:rPr>
        <w:t> </w:t>
      </w:r>
      <w:r>
        <w:rPr/>
        <w:t>or</w:t>
      </w:r>
      <w:r>
        <w:rPr>
          <w:spacing w:val="-2"/>
        </w:rPr>
        <w:t> </w:t>
      </w:r>
      <w:r>
        <w:rPr/>
        <w:t>language</w:t>
      </w:r>
      <w:r>
        <w:rPr>
          <w:spacing w:val="-2"/>
        </w:rPr>
        <w:t> </w:t>
      </w:r>
      <w:r>
        <w:rPr/>
        <w:t>barriers (Tran et al. 2023). For many residents, including those of refugee background who may have experienced the trauma of displacement, conflict and war, this displacement is likely to have significant, protracted and ongoing mental health impacts (Hu 2024).</w:t>
      </w:r>
    </w:p>
    <w:p>
      <w:pPr>
        <w:pStyle w:val="BodyText"/>
        <w:spacing w:line="276" w:lineRule="auto" w:before="119"/>
        <w:ind w:right="1511"/>
      </w:pPr>
      <w:r>
        <w:rPr/>
        <w:t>The community networks fostered within the towers also provide support for those who rely on others for care, while also allowing for care to be distributed more evenly throughout the network as</w:t>
      </w:r>
      <w:r>
        <w:rPr>
          <w:spacing w:val="-2"/>
        </w:rPr>
        <w:t> </w:t>
      </w:r>
      <w:r>
        <w:rPr/>
        <w:t>opposed</w:t>
      </w:r>
      <w:r>
        <w:rPr>
          <w:spacing w:val="-2"/>
        </w:rPr>
        <w:t> </w:t>
      </w:r>
      <w:r>
        <w:rPr/>
        <w:t>to</w:t>
      </w:r>
      <w:r>
        <w:rPr>
          <w:spacing w:val="-1"/>
        </w:rPr>
        <w:t> </w:t>
      </w:r>
      <w:r>
        <w:rPr/>
        <w:t>in</w:t>
      </w:r>
      <w:r>
        <w:rPr>
          <w:spacing w:val="-2"/>
        </w:rPr>
        <w:t> </w:t>
      </w:r>
      <w:r>
        <w:rPr/>
        <w:t>isolated</w:t>
      </w:r>
      <w:r>
        <w:rPr>
          <w:spacing w:val="-3"/>
        </w:rPr>
        <w:t> </w:t>
      </w:r>
      <w:r>
        <w:rPr/>
        <w:t>units.</w:t>
      </w:r>
      <w:r>
        <w:rPr>
          <w:spacing w:val="-2"/>
        </w:rPr>
        <w:t> </w:t>
      </w:r>
      <w:r>
        <w:rPr/>
        <w:t>As</w:t>
      </w:r>
      <w:r>
        <w:rPr>
          <w:spacing w:val="-2"/>
        </w:rPr>
        <w:t> </w:t>
      </w:r>
      <w:r>
        <w:rPr/>
        <w:t>such,</w:t>
      </w:r>
      <w:r>
        <w:rPr>
          <w:spacing w:val="-2"/>
        </w:rPr>
        <w:t> </w:t>
      </w:r>
      <w:r>
        <w:rPr/>
        <w:t>carers,</w:t>
      </w:r>
      <w:r>
        <w:rPr>
          <w:spacing w:val="-5"/>
        </w:rPr>
        <w:t> </w:t>
      </w:r>
      <w:r>
        <w:rPr/>
        <w:t>parents,</w:t>
      </w:r>
      <w:r>
        <w:rPr>
          <w:spacing w:val="-1"/>
        </w:rPr>
        <w:t> </w:t>
      </w:r>
      <w:r>
        <w:rPr/>
        <w:t>older</w:t>
      </w:r>
      <w:r>
        <w:rPr>
          <w:spacing w:val="-2"/>
        </w:rPr>
        <w:t> </w:t>
      </w:r>
      <w:r>
        <w:rPr/>
        <w:t>people,</w:t>
      </w:r>
      <w:r>
        <w:rPr>
          <w:spacing w:val="-4"/>
        </w:rPr>
        <w:t> </w:t>
      </w:r>
      <w:r>
        <w:rPr/>
        <w:t>and</w:t>
      </w:r>
      <w:r>
        <w:rPr>
          <w:spacing w:val="-3"/>
        </w:rPr>
        <w:t> </w:t>
      </w:r>
      <w:r>
        <w:rPr/>
        <w:t>those</w:t>
      </w:r>
      <w:r>
        <w:rPr>
          <w:spacing w:val="-4"/>
        </w:rPr>
        <w:t> </w:t>
      </w:r>
      <w:r>
        <w:rPr/>
        <w:t>with</w:t>
      </w:r>
      <w:r>
        <w:rPr>
          <w:spacing w:val="-2"/>
        </w:rPr>
        <w:t> </w:t>
      </w:r>
      <w:r>
        <w:rPr/>
        <w:t>a</w:t>
      </w:r>
      <w:r>
        <w:rPr>
          <w:spacing w:val="-2"/>
        </w:rPr>
        <w:t> </w:t>
      </w:r>
      <w:r>
        <w:rPr/>
        <w:t>disability</w:t>
      </w:r>
      <w:r>
        <w:rPr>
          <w:spacing w:val="-2"/>
        </w:rPr>
        <w:t> </w:t>
      </w:r>
      <w:r>
        <w:rPr/>
        <w:t>are likely to be particularly impacted by this displacement, majority of whom are very low-income women (Morris 2013; ABS 2021). In displacing residents across Victoria, residents will lose these connections and networks of care, exacerbating the strain felt by many low-income migrant and refugee women and girls.</w:t>
      </w:r>
    </w:p>
    <w:p>
      <w:pPr>
        <w:pStyle w:val="Heading4"/>
        <w:spacing w:before="120"/>
        <w:jc w:val="both"/>
      </w:pPr>
      <w:r>
        <w:rPr>
          <w:color w:val="333366"/>
        </w:rPr>
        <w:t>Impact</w:t>
      </w:r>
      <w:r>
        <w:rPr>
          <w:color w:val="333366"/>
          <w:spacing w:val="-5"/>
        </w:rPr>
        <w:t> </w:t>
      </w:r>
      <w:r>
        <w:rPr>
          <w:color w:val="333366"/>
        </w:rPr>
        <w:t>of</w:t>
      </w:r>
      <w:r>
        <w:rPr>
          <w:color w:val="333366"/>
          <w:spacing w:val="-3"/>
        </w:rPr>
        <w:t> </w:t>
      </w:r>
      <w:r>
        <w:rPr>
          <w:color w:val="333366"/>
        </w:rPr>
        <w:t>displacement</w:t>
      </w:r>
      <w:r>
        <w:rPr>
          <w:color w:val="333366"/>
          <w:spacing w:val="-2"/>
        </w:rPr>
        <w:t> </w:t>
      </w:r>
      <w:r>
        <w:rPr>
          <w:color w:val="333366"/>
        </w:rPr>
        <w:t>on</w:t>
      </w:r>
      <w:r>
        <w:rPr>
          <w:color w:val="333366"/>
          <w:spacing w:val="-2"/>
        </w:rPr>
        <w:t> </w:t>
      </w:r>
      <w:r>
        <w:rPr>
          <w:color w:val="333366"/>
        </w:rPr>
        <w:t>access</w:t>
      </w:r>
      <w:r>
        <w:rPr>
          <w:color w:val="333366"/>
          <w:spacing w:val="-2"/>
        </w:rPr>
        <w:t> </w:t>
      </w:r>
      <w:r>
        <w:rPr>
          <w:color w:val="333366"/>
        </w:rPr>
        <w:t>to health,</w:t>
      </w:r>
      <w:r>
        <w:rPr>
          <w:color w:val="333366"/>
          <w:spacing w:val="-2"/>
        </w:rPr>
        <w:t> </w:t>
      </w:r>
      <w:r>
        <w:rPr>
          <w:color w:val="333366"/>
        </w:rPr>
        <w:t>education</w:t>
      </w:r>
      <w:r>
        <w:rPr>
          <w:color w:val="333366"/>
          <w:spacing w:val="-2"/>
        </w:rPr>
        <w:t> </w:t>
      </w:r>
      <w:r>
        <w:rPr>
          <w:color w:val="333366"/>
        </w:rPr>
        <w:t>and</w:t>
      </w:r>
      <w:r>
        <w:rPr>
          <w:color w:val="333366"/>
          <w:spacing w:val="-1"/>
        </w:rPr>
        <w:t> </w:t>
      </w:r>
      <w:r>
        <w:rPr>
          <w:color w:val="333366"/>
        </w:rPr>
        <w:t>social</w:t>
      </w:r>
      <w:r>
        <w:rPr>
          <w:color w:val="333366"/>
          <w:spacing w:val="-3"/>
        </w:rPr>
        <w:t> </w:t>
      </w:r>
      <w:r>
        <w:rPr>
          <w:color w:val="333366"/>
          <w:spacing w:val="-2"/>
        </w:rPr>
        <w:t>services</w:t>
      </w:r>
    </w:p>
    <w:p>
      <w:pPr>
        <w:pStyle w:val="BodyText"/>
        <w:spacing w:line="276" w:lineRule="auto" w:before="47"/>
        <w:ind w:right="1409"/>
      </w:pPr>
      <w:r>
        <w:rPr/>
        <w:t>Victoria’s social support services and health services are concentrated in inner Melbourne, while public housing residents are among some of the most disadvantaged people in Victoria and benefit significantly</w:t>
      </w:r>
      <w:r>
        <w:rPr>
          <w:spacing w:val="-2"/>
        </w:rPr>
        <w:t> </w:t>
      </w:r>
      <w:r>
        <w:rPr/>
        <w:t>from</w:t>
      </w:r>
      <w:r>
        <w:rPr>
          <w:spacing w:val="-4"/>
        </w:rPr>
        <w:t> </w:t>
      </w:r>
      <w:r>
        <w:rPr/>
        <w:t>access</w:t>
      </w:r>
      <w:r>
        <w:rPr>
          <w:spacing w:val="-1"/>
        </w:rPr>
        <w:t> </w:t>
      </w:r>
      <w:r>
        <w:rPr/>
        <w:t>to</w:t>
      </w:r>
      <w:r>
        <w:rPr>
          <w:spacing w:val="-4"/>
        </w:rPr>
        <w:t> </w:t>
      </w:r>
      <w:r>
        <w:rPr/>
        <w:t>these</w:t>
      </w:r>
      <w:r>
        <w:rPr>
          <w:spacing w:val="-4"/>
        </w:rPr>
        <w:t> </w:t>
      </w:r>
      <w:r>
        <w:rPr/>
        <w:t>services.</w:t>
      </w:r>
      <w:r>
        <w:rPr>
          <w:spacing w:val="-5"/>
        </w:rPr>
        <w:t> </w:t>
      </w:r>
      <w:r>
        <w:rPr/>
        <w:t>Details</w:t>
      </w:r>
      <w:r>
        <w:rPr>
          <w:spacing w:val="-2"/>
        </w:rPr>
        <w:t> </w:t>
      </w:r>
      <w:r>
        <w:rPr/>
        <w:t>about</w:t>
      </w:r>
      <w:r>
        <w:rPr>
          <w:spacing w:val="-2"/>
        </w:rPr>
        <w:t> </w:t>
      </w:r>
      <w:r>
        <w:rPr/>
        <w:t>where</w:t>
      </w:r>
      <w:r>
        <w:rPr>
          <w:spacing w:val="-2"/>
        </w:rPr>
        <w:t> </w:t>
      </w:r>
      <w:r>
        <w:rPr/>
        <w:t>residents</w:t>
      </w:r>
      <w:r>
        <w:rPr>
          <w:spacing w:val="-4"/>
        </w:rPr>
        <w:t> </w:t>
      </w:r>
      <w:r>
        <w:rPr/>
        <w:t>will</w:t>
      </w:r>
      <w:r>
        <w:rPr>
          <w:spacing w:val="-2"/>
        </w:rPr>
        <w:t> </w:t>
      </w:r>
      <w:r>
        <w:rPr/>
        <w:t>be</w:t>
      </w:r>
      <w:r>
        <w:rPr>
          <w:spacing w:val="-2"/>
        </w:rPr>
        <w:t> </w:t>
      </w:r>
      <w:r>
        <w:rPr/>
        <w:t>relocated</w:t>
      </w:r>
      <w:r>
        <w:rPr>
          <w:spacing w:val="-3"/>
        </w:rPr>
        <w:t> </w:t>
      </w:r>
      <w:r>
        <w:rPr/>
        <w:t>have</w:t>
      </w:r>
      <w:r>
        <w:rPr>
          <w:spacing w:val="-2"/>
        </w:rPr>
        <w:t> </w:t>
      </w:r>
      <w:r>
        <w:rPr/>
        <w:t>been</w:t>
      </w:r>
    </w:p>
    <w:p>
      <w:pPr>
        <w:pStyle w:val="BodyText"/>
        <w:spacing w:after="0" w:line="276" w:lineRule="auto"/>
        <w:sectPr>
          <w:pgSz w:w="11910" w:h="16840"/>
          <w:pgMar w:header="0" w:footer="891" w:top="1380" w:bottom="1080" w:left="0" w:right="0"/>
        </w:sectPr>
      </w:pPr>
    </w:p>
    <w:p>
      <w:pPr>
        <w:pStyle w:val="BodyText"/>
        <w:spacing w:line="276" w:lineRule="auto" w:before="41"/>
        <w:ind w:right="1547"/>
      </w:pPr>
      <w:r>
        <w:rPr/>
        <w:t>scarce,</w:t>
      </w:r>
      <w:r>
        <w:rPr>
          <w:spacing w:val="-4"/>
        </w:rPr>
        <w:t> </w:t>
      </w:r>
      <w:r>
        <w:rPr/>
        <w:t>raising</w:t>
      </w:r>
      <w:r>
        <w:rPr>
          <w:spacing w:val="-3"/>
        </w:rPr>
        <w:t> </w:t>
      </w:r>
      <w:r>
        <w:rPr/>
        <w:t>concerns</w:t>
      </w:r>
      <w:r>
        <w:rPr>
          <w:spacing w:val="-1"/>
        </w:rPr>
        <w:t> </w:t>
      </w:r>
      <w:r>
        <w:rPr/>
        <w:t>and</w:t>
      </w:r>
      <w:r>
        <w:rPr>
          <w:spacing w:val="-3"/>
        </w:rPr>
        <w:t> </w:t>
      </w:r>
      <w:r>
        <w:rPr/>
        <w:t>uncertainty</w:t>
      </w:r>
      <w:r>
        <w:rPr>
          <w:spacing w:val="-2"/>
        </w:rPr>
        <w:t> </w:t>
      </w:r>
      <w:r>
        <w:rPr/>
        <w:t>about</w:t>
      </w:r>
      <w:r>
        <w:rPr>
          <w:spacing w:val="-4"/>
        </w:rPr>
        <w:t> </w:t>
      </w:r>
      <w:r>
        <w:rPr/>
        <w:t>residents’</w:t>
      </w:r>
      <w:r>
        <w:rPr>
          <w:spacing w:val="-2"/>
        </w:rPr>
        <w:t> </w:t>
      </w:r>
      <w:r>
        <w:rPr/>
        <w:t>access</w:t>
      </w:r>
      <w:r>
        <w:rPr>
          <w:spacing w:val="-1"/>
        </w:rPr>
        <w:t> </w:t>
      </w:r>
      <w:r>
        <w:rPr/>
        <w:t>to</w:t>
      </w:r>
      <w:r>
        <w:rPr>
          <w:spacing w:val="-3"/>
        </w:rPr>
        <w:t> </w:t>
      </w:r>
      <w:r>
        <w:rPr/>
        <w:t>the</w:t>
      </w:r>
      <w:r>
        <w:rPr>
          <w:spacing w:val="-4"/>
        </w:rPr>
        <w:t> </w:t>
      </w:r>
      <w:r>
        <w:rPr/>
        <w:t>vital</w:t>
      </w:r>
      <w:r>
        <w:rPr>
          <w:spacing w:val="-2"/>
        </w:rPr>
        <w:t> </w:t>
      </w:r>
      <w:r>
        <w:rPr/>
        <w:t>inner-city</w:t>
      </w:r>
      <w:r>
        <w:rPr>
          <w:spacing w:val="-1"/>
        </w:rPr>
        <w:t> </w:t>
      </w:r>
      <w:r>
        <w:rPr/>
        <w:t>services, schools, and health services they rely on.</w:t>
      </w:r>
    </w:p>
    <w:p>
      <w:pPr>
        <w:pStyle w:val="BodyText"/>
        <w:spacing w:line="276" w:lineRule="auto" w:before="119"/>
        <w:ind w:right="1547"/>
      </w:pPr>
      <w:r>
        <w:rPr/>
        <w:t>Already, displaced residents have been temporarily located in suburbs far away from their local networks, families, workplaces and schools, placing considerable strain on migrant and refugee mothers</w:t>
      </w:r>
      <w:r>
        <w:rPr>
          <w:spacing w:val="-2"/>
        </w:rPr>
        <w:t> </w:t>
      </w:r>
      <w:r>
        <w:rPr/>
        <w:t>and</w:t>
      </w:r>
      <w:r>
        <w:rPr>
          <w:spacing w:val="-6"/>
        </w:rPr>
        <w:t> </w:t>
      </w:r>
      <w:r>
        <w:rPr/>
        <w:t>carers</w:t>
      </w:r>
      <w:r>
        <w:rPr>
          <w:spacing w:val="-5"/>
        </w:rPr>
        <w:t> </w:t>
      </w:r>
      <w:r>
        <w:rPr/>
        <w:t>to</w:t>
      </w:r>
      <w:r>
        <w:rPr>
          <w:spacing w:val="-1"/>
        </w:rPr>
        <w:t> </w:t>
      </w:r>
      <w:r>
        <w:rPr/>
        <w:t>travel</w:t>
      </w:r>
      <w:r>
        <w:rPr>
          <w:spacing w:val="-2"/>
        </w:rPr>
        <w:t> </w:t>
      </w:r>
      <w:r>
        <w:rPr/>
        <w:t>long</w:t>
      </w:r>
      <w:r>
        <w:rPr>
          <w:spacing w:val="-3"/>
        </w:rPr>
        <w:t> </w:t>
      </w:r>
      <w:r>
        <w:rPr/>
        <w:t>distances</w:t>
      </w:r>
      <w:r>
        <w:rPr>
          <w:spacing w:val="-4"/>
        </w:rPr>
        <w:t> </w:t>
      </w:r>
      <w:r>
        <w:rPr/>
        <w:t>or</w:t>
      </w:r>
      <w:r>
        <w:rPr>
          <w:spacing w:val="-2"/>
        </w:rPr>
        <w:t> </w:t>
      </w:r>
      <w:r>
        <w:rPr/>
        <w:t>lose</w:t>
      </w:r>
      <w:r>
        <w:rPr>
          <w:spacing w:val="-2"/>
        </w:rPr>
        <w:t> </w:t>
      </w:r>
      <w:r>
        <w:rPr/>
        <w:t>access</w:t>
      </w:r>
      <w:r>
        <w:rPr>
          <w:spacing w:val="-2"/>
        </w:rPr>
        <w:t> </w:t>
      </w:r>
      <w:r>
        <w:rPr/>
        <w:t>to</w:t>
      </w:r>
      <w:r>
        <w:rPr>
          <w:spacing w:val="-3"/>
        </w:rPr>
        <w:t> </w:t>
      </w:r>
      <w:r>
        <w:rPr/>
        <w:t>services (Yussuf</w:t>
      </w:r>
      <w:r>
        <w:rPr>
          <w:spacing w:val="-5"/>
        </w:rPr>
        <w:t> </w:t>
      </w:r>
      <w:r>
        <w:rPr/>
        <w:t>2021).</w:t>
      </w:r>
      <w:r>
        <w:rPr>
          <w:spacing w:val="-1"/>
        </w:rPr>
        <w:t> </w:t>
      </w:r>
      <w:r>
        <w:rPr/>
        <w:t>More</w:t>
      </w:r>
      <w:r>
        <w:rPr>
          <w:spacing w:val="-2"/>
        </w:rPr>
        <w:t> </w:t>
      </w:r>
      <w:r>
        <w:rPr/>
        <w:t>generally, we know that migrant and refugee women already face significant barriers to accessing health services, including lack of transport options and a lack of access to interpreters (MCWH 2022). For women experiencing family violence, there is also poor availability of migration legal services (Vaughan et al, 2016). Displacement will likely exacerbate these issues and increase barriers to support and health services currently experienced by migrant and refugee women.</w:t>
      </w:r>
    </w:p>
    <w:p>
      <w:pPr>
        <w:pStyle w:val="BodyText"/>
        <w:spacing w:line="276" w:lineRule="auto" w:before="121"/>
        <w:ind w:right="1547"/>
      </w:pPr>
      <w:r>
        <w:rPr/>
        <w:t>This</w:t>
      </w:r>
      <w:r>
        <w:rPr>
          <w:spacing w:val="-2"/>
        </w:rPr>
        <w:t> </w:t>
      </w:r>
      <w:r>
        <w:rPr/>
        <w:t>displacement</w:t>
      </w:r>
      <w:r>
        <w:rPr>
          <w:spacing w:val="-5"/>
        </w:rPr>
        <w:t> </w:t>
      </w:r>
      <w:r>
        <w:rPr/>
        <w:t>will</w:t>
      </w:r>
      <w:r>
        <w:rPr>
          <w:spacing w:val="-2"/>
        </w:rPr>
        <w:t> </w:t>
      </w:r>
      <w:r>
        <w:rPr/>
        <w:t>likely</w:t>
      </w:r>
      <w:r>
        <w:rPr>
          <w:spacing w:val="-2"/>
        </w:rPr>
        <w:t> </w:t>
      </w:r>
      <w:r>
        <w:rPr/>
        <w:t>also</w:t>
      </w:r>
      <w:r>
        <w:rPr>
          <w:spacing w:val="-1"/>
        </w:rPr>
        <w:t> </w:t>
      </w:r>
      <w:r>
        <w:rPr/>
        <w:t>change</w:t>
      </w:r>
      <w:r>
        <w:rPr>
          <w:spacing w:val="-4"/>
        </w:rPr>
        <w:t> </w:t>
      </w:r>
      <w:r>
        <w:rPr/>
        <w:t>the</w:t>
      </w:r>
      <w:r>
        <w:rPr>
          <w:spacing w:val="-2"/>
        </w:rPr>
        <w:t> </w:t>
      </w:r>
      <w:r>
        <w:rPr/>
        <w:t>character</w:t>
      </w:r>
      <w:r>
        <w:rPr>
          <w:spacing w:val="-5"/>
        </w:rPr>
        <w:t> </w:t>
      </w:r>
      <w:r>
        <w:rPr/>
        <w:t>of</w:t>
      </w:r>
      <w:r>
        <w:rPr>
          <w:spacing w:val="-2"/>
        </w:rPr>
        <w:t> </w:t>
      </w:r>
      <w:r>
        <w:rPr/>
        <w:t>several</w:t>
      </w:r>
      <w:r>
        <w:rPr>
          <w:spacing w:val="-2"/>
        </w:rPr>
        <w:t> </w:t>
      </w:r>
      <w:r>
        <w:rPr/>
        <w:t>Australian</w:t>
      </w:r>
      <w:r>
        <w:rPr>
          <w:spacing w:val="-6"/>
        </w:rPr>
        <w:t> </w:t>
      </w:r>
      <w:r>
        <w:rPr/>
        <w:t>inner-suburbs</w:t>
      </w:r>
      <w:r>
        <w:rPr>
          <w:spacing w:val="-2"/>
        </w:rPr>
        <w:t> </w:t>
      </w:r>
      <w:r>
        <w:rPr/>
        <w:t>that,</w:t>
      </w:r>
      <w:r>
        <w:rPr>
          <w:spacing w:val="-2"/>
        </w:rPr>
        <w:t> </w:t>
      </w:r>
      <w:r>
        <w:rPr/>
        <w:t>due to the tower’s historic presence, have become community hubs for refugee and migrant communities (Easthope</w:t>
      </w:r>
      <w:r>
        <w:rPr>
          <w:spacing w:val="-3"/>
        </w:rPr>
        <w:t> </w:t>
      </w:r>
      <w:r>
        <w:rPr/>
        <w:t>2018;</w:t>
      </w:r>
      <w:r>
        <w:rPr>
          <w:spacing w:val="-1"/>
        </w:rPr>
        <w:t> </w:t>
      </w:r>
      <w:r>
        <w:rPr/>
        <w:t>Hu</w:t>
      </w:r>
      <w:r>
        <w:rPr>
          <w:spacing w:val="-2"/>
        </w:rPr>
        <w:t> </w:t>
      </w:r>
      <w:r>
        <w:rPr/>
        <w:t>2024).</w:t>
      </w:r>
      <w:r>
        <w:rPr>
          <w:spacing w:val="-3"/>
        </w:rPr>
        <w:t> </w:t>
      </w:r>
      <w:r>
        <w:rPr/>
        <w:t>Loss</w:t>
      </w:r>
      <w:r>
        <w:rPr>
          <w:spacing w:val="-3"/>
        </w:rPr>
        <w:t> </w:t>
      </w:r>
      <w:r>
        <w:rPr/>
        <w:t>of</w:t>
      </w:r>
      <w:r>
        <w:rPr>
          <w:spacing w:val="-1"/>
        </w:rPr>
        <w:t> </w:t>
      </w:r>
      <w:r>
        <w:rPr/>
        <w:t>these</w:t>
      </w:r>
      <w:r>
        <w:rPr>
          <w:spacing w:val="-3"/>
        </w:rPr>
        <w:t> </w:t>
      </w:r>
      <w:r>
        <w:rPr/>
        <w:t>community</w:t>
      </w:r>
      <w:r>
        <w:rPr>
          <w:spacing w:val="-1"/>
        </w:rPr>
        <w:t> </w:t>
      </w:r>
      <w:r>
        <w:rPr/>
        <w:t>hubs</w:t>
      </w:r>
      <w:r>
        <w:rPr>
          <w:spacing w:val="-3"/>
        </w:rPr>
        <w:t> </w:t>
      </w:r>
      <w:r>
        <w:rPr/>
        <w:t>will</w:t>
      </w:r>
      <w:r>
        <w:rPr>
          <w:spacing w:val="-1"/>
        </w:rPr>
        <w:t> </w:t>
      </w:r>
      <w:r>
        <w:rPr/>
        <w:t>have</w:t>
      </w:r>
      <w:r>
        <w:rPr>
          <w:spacing w:val="-3"/>
        </w:rPr>
        <w:t> </w:t>
      </w:r>
      <w:r>
        <w:rPr/>
        <w:t>flow</w:t>
      </w:r>
      <w:r>
        <w:rPr>
          <w:spacing w:val="-3"/>
        </w:rPr>
        <w:t> </w:t>
      </w:r>
      <w:r>
        <w:rPr/>
        <w:t>on</w:t>
      </w:r>
      <w:r>
        <w:rPr>
          <w:spacing w:val="-2"/>
        </w:rPr>
        <w:t> </w:t>
      </w:r>
      <w:r>
        <w:rPr/>
        <w:t>affects</w:t>
      </w:r>
      <w:r>
        <w:rPr>
          <w:spacing w:val="-4"/>
        </w:rPr>
        <w:t> </w:t>
      </w:r>
      <w:r>
        <w:rPr/>
        <w:t>for migrants and refugees outside the towers who rely on these hubs for community support and </w:t>
      </w:r>
      <w:r>
        <w:rPr>
          <w:spacing w:val="-2"/>
        </w:rPr>
        <w:t>services.</w:t>
      </w:r>
    </w:p>
    <w:p>
      <w:pPr>
        <w:pStyle w:val="Heading4"/>
        <w:spacing w:before="121"/>
      </w:pPr>
      <w:r>
        <w:rPr>
          <w:color w:val="333366"/>
        </w:rPr>
        <w:t>Lack</w:t>
      </w:r>
      <w:r>
        <w:rPr>
          <w:color w:val="333366"/>
          <w:spacing w:val="-3"/>
        </w:rPr>
        <w:t> </w:t>
      </w:r>
      <w:r>
        <w:rPr>
          <w:color w:val="333366"/>
        </w:rPr>
        <w:t>of</w:t>
      </w:r>
      <w:r>
        <w:rPr>
          <w:color w:val="333366"/>
          <w:spacing w:val="-3"/>
        </w:rPr>
        <w:t> </w:t>
      </w:r>
      <w:r>
        <w:rPr>
          <w:color w:val="333366"/>
        </w:rPr>
        <w:t>commensurately</w:t>
      </w:r>
      <w:r>
        <w:rPr>
          <w:color w:val="333366"/>
          <w:spacing w:val="-4"/>
        </w:rPr>
        <w:t> </w:t>
      </w:r>
      <w:r>
        <w:rPr>
          <w:color w:val="333366"/>
        </w:rPr>
        <w:t>adequate</w:t>
      </w:r>
      <w:r>
        <w:rPr>
          <w:color w:val="333366"/>
          <w:spacing w:val="-3"/>
        </w:rPr>
        <w:t> </w:t>
      </w:r>
      <w:r>
        <w:rPr>
          <w:color w:val="333366"/>
        </w:rPr>
        <w:t>community</w:t>
      </w:r>
      <w:r>
        <w:rPr>
          <w:color w:val="333366"/>
          <w:spacing w:val="-1"/>
        </w:rPr>
        <w:t> </w:t>
      </w:r>
      <w:r>
        <w:rPr>
          <w:color w:val="333366"/>
          <w:spacing w:val="-2"/>
        </w:rPr>
        <w:t>housing</w:t>
      </w:r>
    </w:p>
    <w:p>
      <w:pPr>
        <w:pStyle w:val="BodyText"/>
        <w:spacing w:line="276" w:lineRule="auto" w:before="47"/>
        <w:ind w:right="1409"/>
      </w:pPr>
      <w:r>
        <w:rPr/>
        <w:t>Evidence suggests that suitability (including housing space, location and place), affordability, and security of tenure are key elements of housing that have an impact on health (VicHealth 2011) and women’s</w:t>
      </w:r>
      <w:r>
        <w:rPr>
          <w:spacing w:val="-5"/>
        </w:rPr>
        <w:t> </w:t>
      </w:r>
      <w:r>
        <w:rPr/>
        <w:t>safety</w:t>
      </w:r>
      <w:r>
        <w:rPr>
          <w:spacing w:val="-3"/>
        </w:rPr>
        <w:t> </w:t>
      </w:r>
      <w:r>
        <w:rPr/>
        <w:t>(Homelessness</w:t>
      </w:r>
      <w:r>
        <w:rPr>
          <w:spacing w:val="-1"/>
        </w:rPr>
        <w:t> </w:t>
      </w:r>
      <w:r>
        <w:rPr/>
        <w:t>Australia</w:t>
      </w:r>
      <w:r>
        <w:rPr>
          <w:spacing w:val="-4"/>
        </w:rPr>
        <w:t> </w:t>
      </w:r>
      <w:r>
        <w:rPr/>
        <w:t>2024).</w:t>
      </w:r>
      <w:r>
        <w:rPr>
          <w:spacing w:val="-1"/>
        </w:rPr>
        <w:t> </w:t>
      </w:r>
      <w:r>
        <w:rPr/>
        <w:t>While</w:t>
      </w:r>
      <w:r>
        <w:rPr>
          <w:spacing w:val="-5"/>
        </w:rPr>
        <w:t> </w:t>
      </w:r>
      <w:r>
        <w:rPr/>
        <w:t>conditions</w:t>
      </w:r>
      <w:r>
        <w:rPr>
          <w:spacing w:val="-2"/>
        </w:rPr>
        <w:t> </w:t>
      </w:r>
      <w:r>
        <w:rPr/>
        <w:t>could</w:t>
      </w:r>
      <w:r>
        <w:rPr>
          <w:spacing w:val="-4"/>
        </w:rPr>
        <w:t> </w:t>
      </w:r>
      <w:r>
        <w:rPr/>
        <w:t>certainly</w:t>
      </w:r>
      <w:r>
        <w:rPr>
          <w:spacing w:val="-4"/>
        </w:rPr>
        <w:t> </w:t>
      </w:r>
      <w:r>
        <w:rPr/>
        <w:t>be</w:t>
      </w:r>
      <w:r>
        <w:rPr>
          <w:spacing w:val="-2"/>
        </w:rPr>
        <w:t> </w:t>
      </w:r>
      <w:r>
        <w:rPr/>
        <w:t>improved</w:t>
      </w:r>
      <w:r>
        <w:rPr>
          <w:spacing w:val="-2"/>
        </w:rPr>
        <w:t> </w:t>
      </w:r>
      <w:r>
        <w:rPr/>
        <w:t>for</w:t>
      </w:r>
      <w:r>
        <w:rPr>
          <w:spacing w:val="-2"/>
        </w:rPr>
        <w:t> </w:t>
      </w:r>
      <w:r>
        <w:rPr/>
        <w:t>the residents in</w:t>
      </w:r>
      <w:r>
        <w:rPr>
          <w:spacing w:val="-3"/>
        </w:rPr>
        <w:t> </w:t>
      </w:r>
      <w:r>
        <w:rPr/>
        <w:t>the</w:t>
      </w:r>
      <w:r>
        <w:rPr>
          <w:spacing w:val="-1"/>
        </w:rPr>
        <w:t> </w:t>
      </w:r>
      <w:r>
        <w:rPr/>
        <w:t>44</w:t>
      </w:r>
      <w:r>
        <w:rPr>
          <w:spacing w:val="-1"/>
        </w:rPr>
        <w:t> </w:t>
      </w:r>
      <w:r>
        <w:rPr/>
        <w:t>towers,</w:t>
      </w:r>
      <w:r>
        <w:rPr>
          <w:spacing w:val="-1"/>
        </w:rPr>
        <w:t> </w:t>
      </w:r>
      <w:r>
        <w:rPr/>
        <w:t>at present, there are serious concerns as</w:t>
      </w:r>
      <w:r>
        <w:rPr>
          <w:spacing w:val="-2"/>
        </w:rPr>
        <w:t> </w:t>
      </w:r>
      <w:r>
        <w:rPr/>
        <w:t>to whether proposed relocation to community housing will provide commensurately adequate conditions for residents, while exposure to systemic discrimination and unfair treatment</w:t>
      </w:r>
      <w:r>
        <w:rPr>
          <w:spacing w:val="-1"/>
        </w:rPr>
        <w:t> </w:t>
      </w:r>
      <w:r>
        <w:rPr/>
        <w:t>may</w:t>
      </w:r>
      <w:r>
        <w:rPr>
          <w:spacing w:val="-1"/>
        </w:rPr>
        <w:t> </w:t>
      </w:r>
      <w:r>
        <w:rPr/>
        <w:t>also</w:t>
      </w:r>
      <w:r>
        <w:rPr>
          <w:spacing w:val="-1"/>
        </w:rPr>
        <w:t> </w:t>
      </w:r>
      <w:r>
        <w:rPr/>
        <w:t>be higher in</w:t>
      </w:r>
      <w:r>
        <w:rPr>
          <w:spacing w:val="-3"/>
        </w:rPr>
        <w:t> </w:t>
      </w:r>
      <w:r>
        <w:rPr/>
        <w:t>community housing.</w:t>
      </w:r>
    </w:p>
    <w:p>
      <w:pPr>
        <w:spacing w:before="121"/>
        <w:ind w:left="1440" w:right="0" w:firstLine="0"/>
        <w:jc w:val="left"/>
        <w:rPr>
          <w:rFonts w:ascii="Segoe UI"/>
          <w:i/>
          <w:sz w:val="22"/>
        </w:rPr>
      </w:pPr>
      <w:r>
        <w:rPr>
          <w:rFonts w:ascii="Segoe UI"/>
          <w:i/>
          <w:color w:val="333366"/>
          <w:spacing w:val="-2"/>
          <w:sz w:val="22"/>
        </w:rPr>
        <w:t>Affordability</w:t>
      </w:r>
    </w:p>
    <w:p>
      <w:pPr>
        <w:pStyle w:val="BodyText"/>
        <w:spacing w:line="276" w:lineRule="auto" w:before="165"/>
        <w:ind w:right="1483"/>
      </w:pPr>
      <w:r>
        <w:rPr/>
        <w:t>Public</w:t>
      </w:r>
      <w:r>
        <w:rPr>
          <w:spacing w:val="-1"/>
        </w:rPr>
        <w:t> </w:t>
      </w:r>
      <w:r>
        <w:rPr/>
        <w:t>housing</w:t>
      </w:r>
      <w:r>
        <w:rPr>
          <w:spacing w:val="-2"/>
        </w:rPr>
        <w:t> </w:t>
      </w:r>
      <w:r>
        <w:rPr/>
        <w:t>is</w:t>
      </w:r>
      <w:r>
        <w:rPr>
          <w:spacing w:val="-4"/>
        </w:rPr>
        <w:t> </w:t>
      </w:r>
      <w:r>
        <w:rPr/>
        <w:t>fixed</w:t>
      </w:r>
      <w:r>
        <w:rPr>
          <w:spacing w:val="-2"/>
        </w:rPr>
        <w:t> </w:t>
      </w:r>
      <w:r>
        <w:rPr/>
        <w:t>at</w:t>
      </w:r>
      <w:r>
        <w:rPr>
          <w:spacing w:val="-1"/>
        </w:rPr>
        <w:t> </w:t>
      </w:r>
      <w:r>
        <w:rPr/>
        <w:t>25%</w:t>
      </w:r>
      <w:r>
        <w:rPr>
          <w:spacing w:val="-3"/>
        </w:rPr>
        <w:t> </w:t>
      </w:r>
      <w:r>
        <w:rPr/>
        <w:t>of</w:t>
      </w:r>
      <w:r>
        <w:rPr>
          <w:spacing w:val="-1"/>
        </w:rPr>
        <w:t> </w:t>
      </w:r>
      <w:r>
        <w:rPr/>
        <w:t>a</w:t>
      </w:r>
      <w:r>
        <w:rPr>
          <w:spacing w:val="-4"/>
        </w:rPr>
        <w:t> </w:t>
      </w:r>
      <w:r>
        <w:rPr/>
        <w:t>resident’s</w:t>
      </w:r>
      <w:r>
        <w:rPr>
          <w:spacing w:val="-1"/>
        </w:rPr>
        <w:t> </w:t>
      </w:r>
      <w:r>
        <w:rPr/>
        <w:t>income,</w:t>
      </w:r>
      <w:r>
        <w:rPr>
          <w:spacing w:val="-3"/>
        </w:rPr>
        <w:t> </w:t>
      </w:r>
      <w:r>
        <w:rPr/>
        <w:t>assuring</w:t>
      </w:r>
      <w:r>
        <w:rPr>
          <w:spacing w:val="-2"/>
        </w:rPr>
        <w:t> </w:t>
      </w:r>
      <w:r>
        <w:rPr/>
        <w:t>residents</w:t>
      </w:r>
      <w:r>
        <w:rPr>
          <w:spacing w:val="-3"/>
        </w:rPr>
        <w:t> </w:t>
      </w:r>
      <w:r>
        <w:rPr/>
        <w:t>that</w:t>
      </w:r>
      <w:r>
        <w:rPr>
          <w:spacing w:val="-3"/>
        </w:rPr>
        <w:t> </w:t>
      </w:r>
      <w:r>
        <w:rPr/>
        <w:t>they</w:t>
      </w:r>
      <w:r>
        <w:rPr>
          <w:spacing w:val="-1"/>
        </w:rPr>
        <w:t> </w:t>
      </w:r>
      <w:r>
        <w:rPr/>
        <w:t>will</w:t>
      </w:r>
      <w:r>
        <w:rPr>
          <w:spacing w:val="-1"/>
        </w:rPr>
        <w:t> </w:t>
      </w:r>
      <w:r>
        <w:rPr/>
        <w:t>not</w:t>
      </w:r>
      <w:r>
        <w:rPr>
          <w:spacing w:val="-1"/>
        </w:rPr>
        <w:t> </w:t>
      </w:r>
      <w:r>
        <w:rPr/>
        <w:t>face</w:t>
      </w:r>
      <w:r>
        <w:rPr>
          <w:spacing w:val="-3"/>
        </w:rPr>
        <w:t> </w:t>
      </w:r>
      <w:r>
        <w:rPr/>
        <w:t>rental stress. Under the new plan, many residents will be forced to move from public housing to community housing where affordability varies widely and sometimes approaches market rates (AHURI 2023). Income lost to more unaffordable housing may impact a family’s ability to buy food,</w:t>
      </w:r>
    </w:p>
    <w:p>
      <w:pPr>
        <w:pStyle w:val="BodyText"/>
        <w:spacing w:line="276" w:lineRule="auto"/>
        <w:ind w:right="1449"/>
      </w:pPr>
      <w:r>
        <w:rPr/>
        <w:t>pay for</w:t>
      </w:r>
      <w:r>
        <w:rPr>
          <w:spacing w:val="-4"/>
        </w:rPr>
        <w:t> </w:t>
      </w:r>
      <w:r>
        <w:rPr/>
        <w:t>care,</w:t>
      </w:r>
      <w:r>
        <w:rPr>
          <w:spacing w:val="-1"/>
        </w:rPr>
        <w:t> </w:t>
      </w:r>
      <w:r>
        <w:rPr/>
        <w:t>and</w:t>
      </w:r>
      <w:r>
        <w:rPr>
          <w:spacing w:val="-5"/>
        </w:rPr>
        <w:t> </w:t>
      </w:r>
      <w:r>
        <w:rPr/>
        <w:t>other</w:t>
      </w:r>
      <w:r>
        <w:rPr>
          <w:spacing w:val="-3"/>
        </w:rPr>
        <w:t> </w:t>
      </w:r>
      <w:r>
        <w:rPr/>
        <w:t>essential</w:t>
      </w:r>
      <w:r>
        <w:rPr>
          <w:spacing w:val="-2"/>
        </w:rPr>
        <w:t> </w:t>
      </w:r>
      <w:r>
        <w:rPr/>
        <w:t>goods</w:t>
      </w:r>
      <w:r>
        <w:rPr>
          <w:spacing w:val="-1"/>
        </w:rPr>
        <w:t> </w:t>
      </w:r>
      <w:r>
        <w:rPr/>
        <w:t>and</w:t>
      </w:r>
      <w:r>
        <w:rPr>
          <w:spacing w:val="-3"/>
        </w:rPr>
        <w:t> </w:t>
      </w:r>
      <w:r>
        <w:rPr/>
        <w:t>services,</w:t>
      </w:r>
      <w:r>
        <w:rPr>
          <w:spacing w:val="-6"/>
        </w:rPr>
        <w:t> </w:t>
      </w:r>
      <w:r>
        <w:rPr/>
        <w:t>while</w:t>
      </w:r>
      <w:r>
        <w:rPr>
          <w:spacing w:val="-1"/>
        </w:rPr>
        <w:t> </w:t>
      </w:r>
      <w:r>
        <w:rPr/>
        <w:t>the</w:t>
      </w:r>
      <w:r>
        <w:rPr>
          <w:spacing w:val="-3"/>
        </w:rPr>
        <w:t> </w:t>
      </w:r>
      <w:r>
        <w:rPr/>
        <w:t>stress</w:t>
      </w:r>
      <w:r>
        <w:rPr>
          <w:spacing w:val="-3"/>
        </w:rPr>
        <w:t> </w:t>
      </w:r>
      <w:r>
        <w:rPr/>
        <w:t>of</w:t>
      </w:r>
      <w:r>
        <w:rPr>
          <w:spacing w:val="-1"/>
        </w:rPr>
        <w:t> </w:t>
      </w:r>
      <w:r>
        <w:rPr/>
        <w:t>housing</w:t>
      </w:r>
      <w:r>
        <w:rPr>
          <w:spacing w:val="-2"/>
        </w:rPr>
        <w:t> </w:t>
      </w:r>
      <w:r>
        <w:rPr/>
        <w:t>affordability</w:t>
      </w:r>
      <w:r>
        <w:rPr>
          <w:spacing w:val="-3"/>
        </w:rPr>
        <w:t> </w:t>
      </w:r>
      <w:r>
        <w:rPr/>
        <w:t>has</w:t>
      </w:r>
      <w:r>
        <w:rPr>
          <w:spacing w:val="-1"/>
        </w:rPr>
        <w:t> </w:t>
      </w:r>
      <w:r>
        <w:rPr/>
        <w:t>well known mental health impacts (VicHealth 2011; Ziersch 2024). For women, who tend to earn less</w:t>
      </w:r>
      <w:r>
        <w:rPr>
          <w:spacing w:val="40"/>
        </w:rPr>
        <w:t> </w:t>
      </w:r>
      <w:r>
        <w:rPr/>
        <w:t>than men, rental stress is both more common and likely to have a disproportionate effect given</w:t>
      </w:r>
      <w:r>
        <w:rPr>
          <w:spacing w:val="40"/>
        </w:rPr>
        <w:t> </w:t>
      </w:r>
      <w:r>
        <w:rPr/>
        <w:t>many women, including single women, tend to have greater care and financial responsibilities for children and other dependants.</w:t>
      </w:r>
    </w:p>
    <w:p>
      <w:pPr>
        <w:spacing w:before="121"/>
        <w:ind w:left="1440" w:right="0" w:firstLine="0"/>
        <w:jc w:val="left"/>
        <w:rPr>
          <w:rFonts w:ascii="Segoe UI"/>
          <w:i/>
          <w:sz w:val="22"/>
        </w:rPr>
      </w:pPr>
      <w:r>
        <w:rPr>
          <w:rFonts w:ascii="Segoe UI"/>
          <w:i/>
          <w:color w:val="333366"/>
          <w:spacing w:val="-2"/>
          <w:sz w:val="22"/>
        </w:rPr>
        <w:t>Security</w:t>
      </w:r>
    </w:p>
    <w:p>
      <w:pPr>
        <w:pStyle w:val="BodyText"/>
        <w:spacing w:line="276" w:lineRule="auto" w:before="162"/>
        <w:ind w:right="1547"/>
      </w:pPr>
      <w:r>
        <w:rPr/>
        <w:t>In a Victorian review of Social Housing Regulation, it was found that the general view among participants was that community housing tenants had less security of tenure than public housing tenants,</w:t>
      </w:r>
      <w:r>
        <w:rPr>
          <w:spacing w:val="-1"/>
        </w:rPr>
        <w:t> </w:t>
      </w:r>
      <w:r>
        <w:rPr/>
        <w:t>attributed</w:t>
      </w:r>
      <w:r>
        <w:rPr>
          <w:spacing w:val="-3"/>
        </w:rPr>
        <w:t> </w:t>
      </w:r>
      <w:r>
        <w:rPr/>
        <w:t>in</w:t>
      </w:r>
      <w:r>
        <w:rPr>
          <w:spacing w:val="-2"/>
        </w:rPr>
        <w:t> </w:t>
      </w:r>
      <w:r>
        <w:rPr/>
        <w:t>part</w:t>
      </w:r>
      <w:r>
        <w:rPr>
          <w:spacing w:val="-3"/>
        </w:rPr>
        <w:t> </w:t>
      </w:r>
      <w:r>
        <w:rPr/>
        <w:t>due</w:t>
      </w:r>
      <w:r>
        <w:rPr>
          <w:spacing w:val="-2"/>
        </w:rPr>
        <w:t> </w:t>
      </w:r>
      <w:r>
        <w:rPr/>
        <w:t>to</w:t>
      </w:r>
      <w:r>
        <w:rPr>
          <w:spacing w:val="-3"/>
        </w:rPr>
        <w:t> </w:t>
      </w:r>
      <w:r>
        <w:rPr/>
        <w:t>the</w:t>
      </w:r>
      <w:r>
        <w:rPr>
          <w:spacing w:val="-2"/>
        </w:rPr>
        <w:t> </w:t>
      </w:r>
      <w:r>
        <w:rPr/>
        <w:t>financial</w:t>
      </w:r>
      <w:r>
        <w:rPr>
          <w:spacing w:val="-4"/>
        </w:rPr>
        <w:t> </w:t>
      </w:r>
      <w:r>
        <w:rPr/>
        <w:t>imperatives</w:t>
      </w:r>
      <w:r>
        <w:rPr>
          <w:spacing w:val="-3"/>
        </w:rPr>
        <w:t> </w:t>
      </w:r>
      <w:r>
        <w:rPr/>
        <w:t>faced</w:t>
      </w:r>
      <w:r>
        <w:rPr>
          <w:spacing w:val="-2"/>
        </w:rPr>
        <w:t> </w:t>
      </w:r>
      <w:r>
        <w:rPr/>
        <w:t>by</w:t>
      </w:r>
      <w:r>
        <w:rPr>
          <w:spacing w:val="-2"/>
        </w:rPr>
        <w:t> </w:t>
      </w:r>
      <w:r>
        <w:rPr/>
        <w:t>community</w:t>
      </w:r>
      <w:r>
        <w:rPr>
          <w:spacing w:val="-2"/>
        </w:rPr>
        <w:t> </w:t>
      </w:r>
      <w:r>
        <w:rPr/>
        <w:t>housing</w:t>
      </w:r>
      <w:r>
        <w:rPr>
          <w:spacing w:val="-3"/>
        </w:rPr>
        <w:t> </w:t>
      </w:r>
      <w:r>
        <w:rPr/>
        <w:t>providers, given that community housing is funded predominantly by residents’ rent (State Government of Victoria</w:t>
      </w:r>
      <w:r>
        <w:rPr>
          <w:spacing w:val="-4"/>
        </w:rPr>
        <w:t> </w:t>
      </w:r>
      <w:r>
        <w:rPr/>
        <w:t>2021).</w:t>
      </w:r>
      <w:r>
        <w:rPr>
          <w:spacing w:val="-2"/>
        </w:rPr>
        <w:t> </w:t>
      </w:r>
      <w:r>
        <w:rPr/>
        <w:t>Insecurity</w:t>
      </w:r>
      <w:r>
        <w:rPr>
          <w:spacing w:val="-3"/>
        </w:rPr>
        <w:t> </w:t>
      </w:r>
      <w:r>
        <w:rPr/>
        <w:t>of</w:t>
      </w:r>
      <w:r>
        <w:rPr>
          <w:spacing w:val="-2"/>
        </w:rPr>
        <w:t> </w:t>
      </w:r>
      <w:r>
        <w:rPr/>
        <w:t>housing</w:t>
      </w:r>
      <w:r>
        <w:rPr>
          <w:spacing w:val="-3"/>
        </w:rPr>
        <w:t> </w:t>
      </w:r>
      <w:r>
        <w:rPr/>
        <w:t>tenure</w:t>
      </w:r>
      <w:r>
        <w:rPr>
          <w:spacing w:val="-4"/>
        </w:rPr>
        <w:t> </w:t>
      </w:r>
      <w:r>
        <w:rPr/>
        <w:t>can</w:t>
      </w:r>
      <w:r>
        <w:rPr>
          <w:spacing w:val="-3"/>
        </w:rPr>
        <w:t> </w:t>
      </w:r>
      <w:r>
        <w:rPr/>
        <w:t>lead</w:t>
      </w:r>
      <w:r>
        <w:rPr>
          <w:spacing w:val="-2"/>
        </w:rPr>
        <w:t> </w:t>
      </w:r>
      <w:r>
        <w:rPr/>
        <w:t>to</w:t>
      </w:r>
      <w:r>
        <w:rPr>
          <w:spacing w:val="-1"/>
        </w:rPr>
        <w:t> </w:t>
      </w:r>
      <w:r>
        <w:rPr/>
        <w:t>higher</w:t>
      </w:r>
      <w:r>
        <w:rPr>
          <w:spacing w:val="-2"/>
        </w:rPr>
        <w:t> </w:t>
      </w:r>
      <w:r>
        <w:rPr/>
        <w:t>levels</w:t>
      </w:r>
      <w:r>
        <w:rPr>
          <w:spacing w:val="-2"/>
        </w:rPr>
        <w:t> </w:t>
      </w:r>
      <w:r>
        <w:rPr/>
        <w:t>of</w:t>
      </w:r>
      <w:r>
        <w:rPr>
          <w:spacing w:val="-3"/>
        </w:rPr>
        <w:t> </w:t>
      </w:r>
      <w:r>
        <w:rPr/>
        <w:t>stress,</w:t>
      </w:r>
      <w:r>
        <w:rPr>
          <w:spacing w:val="-1"/>
        </w:rPr>
        <w:t> </w:t>
      </w:r>
      <w:r>
        <w:rPr/>
        <w:t>and</w:t>
      </w:r>
      <w:r>
        <w:rPr>
          <w:spacing w:val="-3"/>
        </w:rPr>
        <w:t> </w:t>
      </w:r>
      <w:r>
        <w:rPr/>
        <w:t>exacerbates</w:t>
      </w:r>
      <w:r>
        <w:rPr>
          <w:spacing w:val="-5"/>
        </w:rPr>
        <w:t> </w:t>
      </w:r>
      <w:r>
        <w:rPr/>
        <w:t>the risk of homelessness (2011, VicHealth p. 7), particularly for women who experience violence (Homelessness Australia 2024).</w:t>
      </w:r>
    </w:p>
    <w:p>
      <w:pPr>
        <w:pStyle w:val="BodyText"/>
        <w:spacing w:after="0" w:line="276" w:lineRule="auto"/>
        <w:sectPr>
          <w:pgSz w:w="11910" w:h="16840"/>
          <w:pgMar w:header="0" w:footer="891" w:top="1380" w:bottom="1080" w:left="0" w:right="0"/>
        </w:sectPr>
      </w:pPr>
    </w:p>
    <w:p>
      <w:pPr>
        <w:spacing w:before="81"/>
        <w:ind w:left="1440" w:right="0" w:firstLine="0"/>
        <w:jc w:val="left"/>
        <w:rPr>
          <w:rFonts w:ascii="Segoe UI"/>
          <w:i/>
          <w:sz w:val="22"/>
        </w:rPr>
      </w:pPr>
      <w:r>
        <w:rPr>
          <w:rFonts w:ascii="Segoe UI"/>
          <w:i/>
          <w:color w:val="333366"/>
          <w:spacing w:val="-2"/>
          <w:sz w:val="22"/>
        </w:rPr>
        <w:t>Suitability</w:t>
      </w:r>
    </w:p>
    <w:p>
      <w:pPr>
        <w:pStyle w:val="BodyText"/>
        <w:spacing w:line="276" w:lineRule="auto" w:before="163"/>
        <w:ind w:right="1547"/>
      </w:pPr>
      <w:r>
        <w:rPr/>
        <w:t>The 44 towers currently provide residents with community suitability, with residents being able to live close to family and friends, draw on community networks for support and care, and access key services as explained above. At the same time, public housing providers have a responsibility to modify homes to fit a resident’s needs which is particularly important for large families and those with</w:t>
      </w:r>
      <w:r>
        <w:rPr>
          <w:spacing w:val="-3"/>
        </w:rPr>
        <w:t> </w:t>
      </w:r>
      <w:r>
        <w:rPr/>
        <w:t>a</w:t>
      </w:r>
      <w:r>
        <w:rPr>
          <w:spacing w:val="-3"/>
        </w:rPr>
        <w:t> </w:t>
      </w:r>
      <w:r>
        <w:rPr/>
        <w:t>disability.</w:t>
      </w:r>
      <w:r>
        <w:rPr>
          <w:spacing w:val="-3"/>
        </w:rPr>
        <w:t> </w:t>
      </w:r>
      <w:r>
        <w:rPr/>
        <w:t>Conversely,</w:t>
      </w:r>
      <w:r>
        <w:rPr>
          <w:spacing w:val="-2"/>
        </w:rPr>
        <w:t> </w:t>
      </w:r>
      <w:r>
        <w:rPr/>
        <w:t>community</w:t>
      </w:r>
      <w:r>
        <w:rPr>
          <w:spacing w:val="-3"/>
        </w:rPr>
        <w:t> </w:t>
      </w:r>
      <w:r>
        <w:rPr/>
        <w:t>housing</w:t>
      </w:r>
      <w:r>
        <w:rPr>
          <w:spacing w:val="-4"/>
        </w:rPr>
        <w:t> </w:t>
      </w:r>
      <w:r>
        <w:rPr/>
        <w:t>providers</w:t>
      </w:r>
      <w:r>
        <w:rPr>
          <w:spacing w:val="-3"/>
        </w:rPr>
        <w:t> </w:t>
      </w:r>
      <w:r>
        <w:rPr/>
        <w:t>have</w:t>
      </w:r>
      <w:r>
        <w:rPr>
          <w:spacing w:val="-3"/>
        </w:rPr>
        <w:t> </w:t>
      </w:r>
      <w:r>
        <w:rPr/>
        <w:t>no</w:t>
      </w:r>
      <w:r>
        <w:rPr>
          <w:spacing w:val="-5"/>
        </w:rPr>
        <w:t> </w:t>
      </w:r>
      <w:r>
        <w:rPr/>
        <w:t>responsibility</w:t>
      </w:r>
      <w:r>
        <w:rPr>
          <w:spacing w:val="-5"/>
        </w:rPr>
        <w:t> </w:t>
      </w:r>
      <w:r>
        <w:rPr/>
        <w:t>to</w:t>
      </w:r>
      <w:r>
        <w:rPr>
          <w:spacing w:val="-4"/>
        </w:rPr>
        <w:t> </w:t>
      </w:r>
      <w:r>
        <w:rPr/>
        <w:t>modify</w:t>
      </w:r>
      <w:r>
        <w:rPr>
          <w:spacing w:val="-5"/>
        </w:rPr>
        <w:t> </w:t>
      </w:r>
      <w:r>
        <w:rPr/>
        <w:t>a</w:t>
      </w:r>
      <w:r>
        <w:rPr>
          <w:spacing w:val="-3"/>
        </w:rPr>
        <w:t> </w:t>
      </w:r>
      <w:r>
        <w:rPr/>
        <w:t>home to fit the needs of a resident (Bell et. al 2022).</w:t>
      </w:r>
    </w:p>
    <w:p>
      <w:pPr>
        <w:pStyle w:val="BodyText"/>
        <w:spacing w:line="276" w:lineRule="auto" w:before="120"/>
        <w:ind w:right="1547"/>
      </w:pPr>
      <w:r>
        <w:rPr/>
        <w:t>Many new community housing builds have already been found to be unsuitable for migrant and refugee</w:t>
      </w:r>
      <w:r>
        <w:rPr>
          <w:spacing w:val="-2"/>
        </w:rPr>
        <w:t> </w:t>
      </w:r>
      <w:r>
        <w:rPr/>
        <w:t>communities</w:t>
      </w:r>
      <w:r>
        <w:rPr>
          <w:spacing w:val="-4"/>
        </w:rPr>
        <w:t> </w:t>
      </w:r>
      <w:r>
        <w:rPr/>
        <w:t>that</w:t>
      </w:r>
      <w:r>
        <w:rPr>
          <w:spacing w:val="-4"/>
        </w:rPr>
        <w:t> </w:t>
      </w:r>
      <w:r>
        <w:rPr/>
        <w:t>have</w:t>
      </w:r>
      <w:r>
        <w:rPr>
          <w:spacing w:val="-2"/>
        </w:rPr>
        <w:t> </w:t>
      </w:r>
      <w:r>
        <w:rPr/>
        <w:t>already</w:t>
      </w:r>
      <w:r>
        <w:rPr>
          <w:spacing w:val="-2"/>
        </w:rPr>
        <w:t> </w:t>
      </w:r>
      <w:r>
        <w:rPr/>
        <w:t>been</w:t>
      </w:r>
      <w:r>
        <w:rPr>
          <w:spacing w:val="-3"/>
        </w:rPr>
        <w:t> </w:t>
      </w:r>
      <w:r>
        <w:rPr/>
        <w:t>displaced</w:t>
      </w:r>
      <w:r>
        <w:rPr>
          <w:spacing w:val="-3"/>
        </w:rPr>
        <w:t> </w:t>
      </w:r>
      <w:r>
        <w:rPr/>
        <w:t>by</w:t>
      </w:r>
      <w:r>
        <w:rPr>
          <w:spacing w:val="-1"/>
        </w:rPr>
        <w:t> </w:t>
      </w:r>
      <w:r>
        <w:rPr/>
        <w:t>the</w:t>
      </w:r>
      <w:r>
        <w:rPr>
          <w:spacing w:val="-4"/>
        </w:rPr>
        <w:t> </w:t>
      </w:r>
      <w:r>
        <w:rPr/>
        <w:t>plan,</w:t>
      </w:r>
      <w:r>
        <w:rPr>
          <w:spacing w:val="-2"/>
        </w:rPr>
        <w:t> </w:t>
      </w:r>
      <w:r>
        <w:rPr/>
        <w:t>having</w:t>
      </w:r>
      <w:r>
        <w:rPr>
          <w:spacing w:val="-4"/>
        </w:rPr>
        <w:t> </w:t>
      </w:r>
      <w:r>
        <w:rPr/>
        <w:t>been</w:t>
      </w:r>
      <w:r>
        <w:rPr>
          <w:spacing w:val="-5"/>
        </w:rPr>
        <w:t> </w:t>
      </w:r>
      <w:r>
        <w:rPr/>
        <w:t>offered</w:t>
      </w:r>
      <w:r>
        <w:rPr>
          <w:spacing w:val="-2"/>
        </w:rPr>
        <w:t> </w:t>
      </w:r>
      <w:r>
        <w:rPr/>
        <w:t>units</w:t>
      </w:r>
      <w:r>
        <w:rPr>
          <w:spacing w:val="-2"/>
        </w:rPr>
        <w:t> </w:t>
      </w:r>
      <w:r>
        <w:rPr/>
        <w:t>that are too small for their families, lack privacy, or space for cultural practices (Yussuf 2021; Dexter 2024; Flemington Kensington News 2024).</w:t>
      </w:r>
    </w:p>
    <w:p>
      <w:pPr>
        <w:spacing w:before="122"/>
        <w:ind w:left="1440" w:right="0" w:firstLine="0"/>
        <w:jc w:val="left"/>
        <w:rPr>
          <w:rFonts w:ascii="Segoe UI"/>
          <w:i/>
          <w:sz w:val="22"/>
        </w:rPr>
      </w:pPr>
      <w:r>
        <w:rPr>
          <w:rFonts w:ascii="Segoe UI"/>
          <w:i/>
          <w:color w:val="333366"/>
          <w:spacing w:val="-2"/>
          <w:sz w:val="22"/>
        </w:rPr>
        <w:t>Discrimination</w:t>
      </w:r>
    </w:p>
    <w:p>
      <w:pPr>
        <w:pStyle w:val="BodyText"/>
        <w:spacing w:line="276" w:lineRule="auto" w:before="163"/>
        <w:ind w:right="1547"/>
      </w:pPr>
      <w:r>
        <w:rPr/>
        <w:t>The</w:t>
      </w:r>
      <w:r>
        <w:rPr>
          <w:spacing w:val="-2"/>
        </w:rPr>
        <w:t> </w:t>
      </w:r>
      <w:r>
        <w:rPr/>
        <w:t>outsourcing</w:t>
      </w:r>
      <w:r>
        <w:rPr>
          <w:spacing w:val="-3"/>
        </w:rPr>
        <w:t> </w:t>
      </w:r>
      <w:r>
        <w:rPr/>
        <w:t>of</w:t>
      </w:r>
      <w:r>
        <w:rPr>
          <w:spacing w:val="-4"/>
        </w:rPr>
        <w:t> </w:t>
      </w:r>
      <w:r>
        <w:rPr/>
        <w:t>social</w:t>
      </w:r>
      <w:r>
        <w:rPr>
          <w:spacing w:val="-5"/>
        </w:rPr>
        <w:t> </w:t>
      </w:r>
      <w:r>
        <w:rPr/>
        <w:t>housing</w:t>
      </w:r>
      <w:r>
        <w:rPr>
          <w:spacing w:val="-3"/>
        </w:rPr>
        <w:t> </w:t>
      </w:r>
      <w:r>
        <w:rPr/>
        <w:t>services</w:t>
      </w:r>
      <w:r>
        <w:rPr>
          <w:spacing w:val="-4"/>
        </w:rPr>
        <w:t> </w:t>
      </w:r>
      <w:r>
        <w:rPr/>
        <w:t>to</w:t>
      </w:r>
      <w:r>
        <w:rPr>
          <w:spacing w:val="-1"/>
        </w:rPr>
        <w:t> </w:t>
      </w:r>
      <w:r>
        <w:rPr/>
        <w:t>non-government</w:t>
      </w:r>
      <w:r>
        <w:rPr>
          <w:spacing w:val="-1"/>
        </w:rPr>
        <w:t> </w:t>
      </w:r>
      <w:r>
        <w:rPr/>
        <w:t>organisation</w:t>
      </w:r>
      <w:r>
        <w:rPr>
          <w:spacing w:val="-4"/>
        </w:rPr>
        <w:t> </w:t>
      </w:r>
      <w:r>
        <w:rPr/>
        <w:t>exposes</w:t>
      </w:r>
      <w:r>
        <w:rPr>
          <w:spacing w:val="-3"/>
        </w:rPr>
        <w:t> </w:t>
      </w:r>
      <w:r>
        <w:rPr/>
        <w:t>migrants</w:t>
      </w:r>
      <w:r>
        <w:rPr>
          <w:spacing w:val="-1"/>
        </w:rPr>
        <w:t> </w:t>
      </w:r>
      <w:r>
        <w:rPr/>
        <w:t>and refugees, including women, gender diverse people, LGBTQI+ people, people of faith, and older people to discrimination given the discretionary power community housing providers hold when selecting tenants, which community housing applicants have already raised as a key issue with community housing providers (Hurren, 2020). We know that exposure to discrimination is a significant mental health stressor for migrants and refugees, and on top of this, discrimination impacts access to vital housing (Ziersch et. al 2020).</w:t>
      </w:r>
    </w:p>
    <w:p>
      <w:pPr>
        <w:pStyle w:val="Heading3"/>
        <w:numPr>
          <w:ilvl w:val="1"/>
          <w:numId w:val="1"/>
        </w:numPr>
        <w:tabs>
          <w:tab w:pos="1743" w:val="left" w:leader="none"/>
        </w:tabs>
        <w:spacing w:line="276" w:lineRule="auto" w:before="121" w:after="0"/>
        <w:ind w:left="1440" w:right="1558" w:firstLine="0"/>
        <w:jc w:val="left"/>
      </w:pPr>
      <w:r>
        <w:rPr>
          <w:color w:val="333366"/>
        </w:rPr>
        <w:t>The findings and adequacy of consultations with (i) public housing tower residents and their representatives; (ii) relevant local stakeholders, such as health,</w:t>
      </w:r>
      <w:r>
        <w:rPr>
          <w:color w:val="333366"/>
          <w:spacing w:val="-5"/>
        </w:rPr>
        <w:t> </w:t>
      </w:r>
      <w:r>
        <w:rPr>
          <w:color w:val="333366"/>
        </w:rPr>
        <w:t>community</w:t>
      </w:r>
      <w:r>
        <w:rPr>
          <w:color w:val="333366"/>
          <w:spacing w:val="-6"/>
        </w:rPr>
        <w:t> </w:t>
      </w:r>
      <w:r>
        <w:rPr>
          <w:color w:val="333366"/>
        </w:rPr>
        <w:t>and</w:t>
      </w:r>
      <w:r>
        <w:rPr>
          <w:color w:val="333366"/>
          <w:spacing w:val="-5"/>
        </w:rPr>
        <w:t> </w:t>
      </w:r>
      <w:r>
        <w:rPr>
          <w:color w:val="333366"/>
        </w:rPr>
        <w:t>education</w:t>
      </w:r>
      <w:r>
        <w:rPr>
          <w:color w:val="333366"/>
          <w:spacing w:val="-4"/>
        </w:rPr>
        <w:t> </w:t>
      </w:r>
      <w:r>
        <w:rPr>
          <w:color w:val="333366"/>
        </w:rPr>
        <w:t>service</w:t>
      </w:r>
      <w:r>
        <w:rPr>
          <w:color w:val="333366"/>
          <w:spacing w:val="-7"/>
        </w:rPr>
        <w:t> </w:t>
      </w:r>
      <w:r>
        <w:rPr>
          <w:color w:val="333366"/>
        </w:rPr>
        <w:t>providers,</w:t>
      </w:r>
      <w:r>
        <w:rPr>
          <w:color w:val="333366"/>
          <w:spacing w:val="-4"/>
        </w:rPr>
        <w:t> </w:t>
      </w:r>
      <w:r>
        <w:rPr>
          <w:color w:val="333366"/>
        </w:rPr>
        <w:t>residents</w:t>
      </w:r>
      <w:r>
        <w:rPr>
          <w:color w:val="333366"/>
          <w:spacing w:val="-4"/>
        </w:rPr>
        <w:t> </w:t>
      </w:r>
      <w:r>
        <w:rPr>
          <w:color w:val="333366"/>
        </w:rPr>
        <w:t>and</w:t>
      </w:r>
      <w:r>
        <w:rPr>
          <w:color w:val="333366"/>
          <w:spacing w:val="-5"/>
        </w:rPr>
        <w:t> </w:t>
      </w:r>
      <w:r>
        <w:rPr>
          <w:color w:val="333366"/>
        </w:rPr>
        <w:t>councils; (iii) state and federal government departments and agencies;</w:t>
      </w:r>
    </w:p>
    <w:p>
      <w:pPr>
        <w:pStyle w:val="BodyText"/>
        <w:spacing w:before="110"/>
        <w:ind w:left="0"/>
        <w:rPr>
          <w:rFonts w:ascii="Segoe UI"/>
          <w:b/>
          <w:sz w:val="24"/>
        </w:rPr>
      </w:pPr>
    </w:p>
    <w:p>
      <w:pPr>
        <w:pStyle w:val="BodyText"/>
        <w:spacing w:line="276" w:lineRule="auto" w:before="1"/>
        <w:ind w:right="1547"/>
      </w:pPr>
      <w:r>
        <w:rPr/>
        <w:t>At present, the government has provided no public evidence that residents were</w:t>
      </w:r>
      <w:r>
        <w:rPr>
          <w:spacing w:val="-2"/>
        </w:rPr>
        <w:t> </w:t>
      </w:r>
      <w:r>
        <w:rPr/>
        <w:t>consulted </w:t>
      </w:r>
      <w:r>
        <w:rPr>
          <w:i/>
        </w:rPr>
        <w:t>prior </w:t>
      </w:r>
      <w:r>
        <w:rPr/>
        <w:t>to the decision to demolish their homes, including migrant and refugee residents. This is despite residents, particularly from the African diaspora, raising significant concerns with Homes Victoria about</w:t>
      </w:r>
      <w:r>
        <w:rPr>
          <w:spacing w:val="-2"/>
        </w:rPr>
        <w:t> </w:t>
      </w:r>
      <w:r>
        <w:rPr/>
        <w:t>the</w:t>
      </w:r>
      <w:r>
        <w:rPr>
          <w:spacing w:val="-4"/>
        </w:rPr>
        <w:t> </w:t>
      </w:r>
      <w:r>
        <w:rPr/>
        <w:t>significant</w:t>
      </w:r>
      <w:r>
        <w:rPr>
          <w:spacing w:val="-1"/>
        </w:rPr>
        <w:t> </w:t>
      </w:r>
      <w:r>
        <w:rPr/>
        <w:t>impact</w:t>
      </w:r>
      <w:r>
        <w:rPr>
          <w:spacing w:val="-2"/>
        </w:rPr>
        <w:t> </w:t>
      </w:r>
      <w:r>
        <w:rPr/>
        <w:t>of</w:t>
      </w:r>
      <w:r>
        <w:rPr>
          <w:spacing w:val="-5"/>
        </w:rPr>
        <w:t> </w:t>
      </w:r>
      <w:r>
        <w:rPr/>
        <w:t>the</w:t>
      </w:r>
      <w:r>
        <w:rPr>
          <w:spacing w:val="-2"/>
        </w:rPr>
        <w:t> </w:t>
      </w:r>
      <w:r>
        <w:rPr/>
        <w:t>plan</w:t>
      </w:r>
      <w:r>
        <w:rPr>
          <w:spacing w:val="-6"/>
        </w:rPr>
        <w:t> </w:t>
      </w:r>
      <w:r>
        <w:rPr/>
        <w:t>on</w:t>
      </w:r>
      <w:r>
        <w:rPr>
          <w:spacing w:val="-3"/>
        </w:rPr>
        <w:t> </w:t>
      </w:r>
      <w:r>
        <w:rPr/>
        <w:t>their</w:t>
      </w:r>
      <w:r>
        <w:rPr>
          <w:spacing w:val="-2"/>
        </w:rPr>
        <w:t> </w:t>
      </w:r>
      <w:r>
        <w:rPr/>
        <w:t>health</w:t>
      </w:r>
      <w:r>
        <w:rPr>
          <w:spacing w:val="-3"/>
        </w:rPr>
        <w:t> </w:t>
      </w:r>
      <w:r>
        <w:rPr/>
        <w:t>and</w:t>
      </w:r>
      <w:r>
        <w:rPr>
          <w:spacing w:val="-4"/>
        </w:rPr>
        <w:t> </w:t>
      </w:r>
      <w:r>
        <w:rPr/>
        <w:t>wellbeing (Flemington</w:t>
      </w:r>
      <w:r>
        <w:rPr>
          <w:spacing w:val="-3"/>
        </w:rPr>
        <w:t> </w:t>
      </w:r>
      <w:r>
        <w:rPr/>
        <w:t>Kensington</w:t>
      </w:r>
      <w:r>
        <w:rPr>
          <w:spacing w:val="-6"/>
        </w:rPr>
        <w:t> </w:t>
      </w:r>
      <w:r>
        <w:rPr/>
        <w:t>News </w:t>
      </w:r>
      <w:r>
        <w:rPr>
          <w:spacing w:val="-2"/>
        </w:rPr>
        <w:t>2024).</w:t>
      </w:r>
    </w:p>
    <w:p>
      <w:pPr>
        <w:pStyle w:val="BodyText"/>
        <w:spacing w:line="276" w:lineRule="auto" w:before="119"/>
        <w:ind w:right="1483"/>
      </w:pPr>
      <w:r>
        <w:rPr/>
        <w:t>MCWH</w:t>
      </w:r>
      <w:r>
        <w:rPr>
          <w:spacing w:val="-2"/>
        </w:rPr>
        <w:t> </w:t>
      </w:r>
      <w:r>
        <w:rPr/>
        <w:t>is</w:t>
      </w:r>
      <w:r>
        <w:rPr>
          <w:spacing w:val="-5"/>
        </w:rPr>
        <w:t> </w:t>
      </w:r>
      <w:r>
        <w:rPr/>
        <w:t>also</w:t>
      </w:r>
      <w:r>
        <w:rPr>
          <w:spacing w:val="-1"/>
        </w:rPr>
        <w:t> </w:t>
      </w:r>
      <w:r>
        <w:rPr/>
        <w:t>not</w:t>
      </w:r>
      <w:r>
        <w:rPr>
          <w:spacing w:val="-1"/>
        </w:rPr>
        <w:t> </w:t>
      </w:r>
      <w:r>
        <w:rPr/>
        <w:t>aware</w:t>
      </w:r>
      <w:r>
        <w:rPr>
          <w:spacing w:val="-4"/>
        </w:rPr>
        <w:t> </w:t>
      </w:r>
      <w:r>
        <w:rPr/>
        <w:t>of</w:t>
      </w:r>
      <w:r>
        <w:rPr>
          <w:spacing w:val="-5"/>
        </w:rPr>
        <w:t> </w:t>
      </w:r>
      <w:r>
        <w:rPr/>
        <w:t>any</w:t>
      </w:r>
      <w:r>
        <w:rPr>
          <w:spacing w:val="-2"/>
        </w:rPr>
        <w:t> </w:t>
      </w:r>
      <w:r>
        <w:rPr/>
        <w:t>consultation</w:t>
      </w:r>
      <w:r>
        <w:rPr>
          <w:spacing w:val="-4"/>
        </w:rPr>
        <w:t> </w:t>
      </w:r>
      <w:r>
        <w:rPr/>
        <w:t>with</w:t>
      </w:r>
      <w:r>
        <w:rPr>
          <w:spacing w:val="-2"/>
        </w:rPr>
        <w:t> </w:t>
      </w:r>
      <w:r>
        <w:rPr/>
        <w:t>relevant</w:t>
      </w:r>
      <w:r>
        <w:rPr>
          <w:spacing w:val="-2"/>
        </w:rPr>
        <w:t> </w:t>
      </w:r>
      <w:r>
        <w:rPr/>
        <w:t>local</w:t>
      </w:r>
      <w:r>
        <w:rPr>
          <w:spacing w:val="-2"/>
        </w:rPr>
        <w:t> </w:t>
      </w:r>
      <w:r>
        <w:rPr/>
        <w:t>stakeholders,</w:t>
      </w:r>
      <w:r>
        <w:rPr>
          <w:spacing w:val="-4"/>
        </w:rPr>
        <w:t> </w:t>
      </w:r>
      <w:r>
        <w:rPr/>
        <w:t>especially</w:t>
      </w:r>
      <w:r>
        <w:rPr>
          <w:spacing w:val="-4"/>
        </w:rPr>
        <w:t> </w:t>
      </w:r>
      <w:r>
        <w:rPr/>
        <w:t>migrant</w:t>
      </w:r>
      <w:r>
        <w:rPr>
          <w:spacing w:val="-2"/>
        </w:rPr>
        <w:t> </w:t>
      </w:r>
      <w:r>
        <w:rPr/>
        <w:t>and refugee services and advocacy bodies. Given the cultural, historic and present significance of the 44 towers to migrant and refugee communities, this oversight raises serious concerns about the adequacy of consultation.</w:t>
      </w:r>
    </w:p>
    <w:p>
      <w:pPr>
        <w:pStyle w:val="Heading3"/>
        <w:spacing w:line="276" w:lineRule="auto" w:before="122"/>
        <w:ind w:right="1547"/>
      </w:pPr>
      <w:r>
        <w:rPr>
          <w:color w:val="333366"/>
        </w:rPr>
        <w:t>G)</w:t>
      </w:r>
      <w:r>
        <w:rPr>
          <w:color w:val="333366"/>
          <w:spacing w:val="-2"/>
        </w:rPr>
        <w:t> </w:t>
      </w:r>
      <w:r>
        <w:rPr>
          <w:color w:val="333366"/>
        </w:rPr>
        <w:t>The</w:t>
      </w:r>
      <w:r>
        <w:rPr>
          <w:color w:val="333366"/>
          <w:spacing w:val="-3"/>
        </w:rPr>
        <w:t> </w:t>
      </w:r>
      <w:r>
        <w:rPr>
          <w:color w:val="333366"/>
        </w:rPr>
        <w:t>likely</w:t>
      </w:r>
      <w:r>
        <w:rPr>
          <w:color w:val="333366"/>
          <w:spacing w:val="-2"/>
        </w:rPr>
        <w:t> </w:t>
      </w:r>
      <w:r>
        <w:rPr>
          <w:color w:val="333366"/>
        </w:rPr>
        <w:t>impacts</w:t>
      </w:r>
      <w:r>
        <w:rPr>
          <w:color w:val="333366"/>
          <w:spacing w:val="-5"/>
        </w:rPr>
        <w:t> </w:t>
      </w:r>
      <w:r>
        <w:rPr>
          <w:color w:val="333366"/>
        </w:rPr>
        <w:t>of</w:t>
      </w:r>
      <w:r>
        <w:rPr>
          <w:color w:val="333366"/>
          <w:spacing w:val="-4"/>
        </w:rPr>
        <w:t> </w:t>
      </w:r>
      <w:r>
        <w:rPr>
          <w:color w:val="333366"/>
        </w:rPr>
        <w:t>the</w:t>
      </w:r>
      <w:r>
        <w:rPr>
          <w:color w:val="333366"/>
          <w:spacing w:val="-3"/>
        </w:rPr>
        <w:t> </w:t>
      </w:r>
      <w:r>
        <w:rPr>
          <w:color w:val="333366"/>
        </w:rPr>
        <w:t>plan</w:t>
      </w:r>
      <w:r>
        <w:rPr>
          <w:color w:val="333366"/>
          <w:spacing w:val="-2"/>
        </w:rPr>
        <w:t> </w:t>
      </w:r>
      <w:r>
        <w:rPr>
          <w:color w:val="333366"/>
        </w:rPr>
        <w:t>on:</w:t>
      </w:r>
      <w:r>
        <w:rPr>
          <w:color w:val="333366"/>
          <w:spacing w:val="-5"/>
        </w:rPr>
        <w:t> </w:t>
      </w:r>
      <w:r>
        <w:rPr>
          <w:color w:val="333366"/>
        </w:rPr>
        <w:t>the</w:t>
      </w:r>
      <w:r>
        <w:rPr>
          <w:color w:val="333366"/>
          <w:spacing w:val="-3"/>
        </w:rPr>
        <w:t> </w:t>
      </w:r>
      <w:r>
        <w:rPr>
          <w:color w:val="333366"/>
        </w:rPr>
        <w:t>future</w:t>
      </w:r>
      <w:r>
        <w:rPr>
          <w:color w:val="333366"/>
          <w:spacing w:val="-3"/>
        </w:rPr>
        <w:t> </w:t>
      </w:r>
      <w:r>
        <w:rPr>
          <w:color w:val="333366"/>
        </w:rPr>
        <w:t>of</w:t>
      </w:r>
      <w:r>
        <w:rPr>
          <w:color w:val="333366"/>
          <w:spacing w:val="-4"/>
        </w:rPr>
        <w:t> </w:t>
      </w:r>
      <w:r>
        <w:rPr>
          <w:color w:val="333366"/>
        </w:rPr>
        <w:t>public</w:t>
      </w:r>
      <w:r>
        <w:rPr>
          <w:color w:val="333366"/>
          <w:spacing w:val="-3"/>
        </w:rPr>
        <w:t> </w:t>
      </w:r>
      <w:r>
        <w:rPr>
          <w:color w:val="333366"/>
        </w:rPr>
        <w:t>housing</w:t>
      </w:r>
      <w:r>
        <w:rPr>
          <w:color w:val="333366"/>
          <w:spacing w:val="-3"/>
        </w:rPr>
        <w:t> </w:t>
      </w:r>
      <w:r>
        <w:rPr>
          <w:color w:val="333366"/>
        </w:rPr>
        <w:t>in</w:t>
      </w:r>
      <w:r>
        <w:rPr>
          <w:color w:val="333366"/>
          <w:spacing w:val="-2"/>
        </w:rPr>
        <w:t> </w:t>
      </w:r>
      <w:r>
        <w:rPr>
          <w:color w:val="333366"/>
        </w:rPr>
        <w:t>Victoria; and any other related matters</w:t>
      </w:r>
    </w:p>
    <w:p>
      <w:pPr>
        <w:pStyle w:val="BodyText"/>
        <w:spacing w:before="107"/>
        <w:ind w:left="0"/>
        <w:rPr>
          <w:rFonts w:ascii="Segoe UI"/>
          <w:b/>
          <w:sz w:val="24"/>
        </w:rPr>
      </w:pPr>
    </w:p>
    <w:p>
      <w:pPr>
        <w:pStyle w:val="BodyText"/>
        <w:spacing w:line="276" w:lineRule="auto"/>
        <w:ind w:right="1483"/>
      </w:pPr>
      <w:r>
        <w:rPr/>
        <w:t>The plan to demolish the</w:t>
      </w:r>
      <w:r>
        <w:rPr>
          <w:spacing w:val="-1"/>
        </w:rPr>
        <w:t> </w:t>
      </w:r>
      <w:r>
        <w:rPr/>
        <w:t>44 towers and replace them with community housing and market housing unfortunately reflects</w:t>
      </w:r>
      <w:r>
        <w:rPr>
          <w:spacing w:val="-4"/>
        </w:rPr>
        <w:t> </w:t>
      </w:r>
      <w:r>
        <w:rPr/>
        <w:t>what</w:t>
      </w:r>
      <w:r>
        <w:rPr>
          <w:spacing w:val="-5"/>
        </w:rPr>
        <w:t> </w:t>
      </w:r>
      <w:r>
        <w:rPr/>
        <w:t>appears</w:t>
      </w:r>
      <w:r>
        <w:rPr>
          <w:spacing w:val="-2"/>
        </w:rPr>
        <w:t> </w:t>
      </w:r>
      <w:r>
        <w:rPr/>
        <w:t>to</w:t>
      </w:r>
      <w:r>
        <w:rPr>
          <w:spacing w:val="-1"/>
        </w:rPr>
        <w:t> </w:t>
      </w:r>
      <w:r>
        <w:rPr/>
        <w:t>be</w:t>
      </w:r>
      <w:r>
        <w:rPr>
          <w:spacing w:val="-4"/>
        </w:rPr>
        <w:t> </w:t>
      </w:r>
      <w:r>
        <w:rPr/>
        <w:t>a</w:t>
      </w:r>
      <w:r>
        <w:rPr>
          <w:spacing w:val="-1"/>
        </w:rPr>
        <w:t> </w:t>
      </w:r>
      <w:r>
        <w:rPr/>
        <w:t>general</w:t>
      </w:r>
      <w:r>
        <w:rPr>
          <w:spacing w:val="-2"/>
        </w:rPr>
        <w:t> </w:t>
      </w:r>
      <w:r>
        <w:rPr/>
        <w:t>shift</w:t>
      </w:r>
      <w:r>
        <w:rPr>
          <w:spacing w:val="-1"/>
        </w:rPr>
        <w:t> </w:t>
      </w:r>
      <w:r>
        <w:rPr/>
        <w:t>by</w:t>
      </w:r>
      <w:r>
        <w:rPr>
          <w:spacing w:val="-2"/>
        </w:rPr>
        <w:t> </w:t>
      </w:r>
      <w:r>
        <w:rPr/>
        <w:t>governments</w:t>
      </w:r>
      <w:r>
        <w:rPr>
          <w:spacing w:val="-1"/>
        </w:rPr>
        <w:t> </w:t>
      </w:r>
      <w:r>
        <w:rPr/>
        <w:t>away</w:t>
      </w:r>
      <w:r>
        <w:rPr>
          <w:spacing w:val="-4"/>
        </w:rPr>
        <w:t> </w:t>
      </w:r>
      <w:r>
        <w:rPr/>
        <w:t>from</w:t>
      </w:r>
      <w:r>
        <w:rPr>
          <w:spacing w:val="-4"/>
        </w:rPr>
        <w:t> </w:t>
      </w:r>
      <w:r>
        <w:rPr/>
        <w:t>public</w:t>
      </w:r>
      <w:r>
        <w:rPr>
          <w:spacing w:val="-2"/>
        </w:rPr>
        <w:t> </w:t>
      </w:r>
      <w:r>
        <w:rPr/>
        <w:t>housing, reducing the net availability of public housing in Victoria (Morris 2013). This shift significantly impacts migrant and refugee women’s access to safe, affordable and secure housing. As Victoria</w:t>
      </w:r>
    </w:p>
    <w:p>
      <w:pPr>
        <w:pStyle w:val="BodyText"/>
        <w:spacing w:after="0" w:line="276" w:lineRule="auto"/>
        <w:sectPr>
          <w:pgSz w:w="11910" w:h="16840"/>
          <w:pgMar w:header="0" w:footer="891" w:top="1340" w:bottom="1080" w:left="0" w:right="0"/>
        </w:sectPr>
      </w:pPr>
    </w:p>
    <w:p>
      <w:pPr>
        <w:pStyle w:val="BodyText"/>
        <w:spacing w:line="276" w:lineRule="auto" w:before="41"/>
        <w:ind w:right="1547"/>
      </w:pPr>
      <w:r>
        <w:rPr/>
        <w:t>experiences a protracted housing crisis, divestment from and destruction of public housing, in exchange</w:t>
      </w:r>
      <w:r>
        <w:rPr>
          <w:spacing w:val="-2"/>
        </w:rPr>
        <w:t> </w:t>
      </w:r>
      <w:r>
        <w:rPr/>
        <w:t>for</w:t>
      </w:r>
      <w:r>
        <w:rPr>
          <w:spacing w:val="-1"/>
        </w:rPr>
        <w:t> </w:t>
      </w:r>
      <w:r>
        <w:rPr/>
        <w:t>a</w:t>
      </w:r>
      <w:r>
        <w:rPr>
          <w:spacing w:val="-5"/>
        </w:rPr>
        <w:t> </w:t>
      </w:r>
      <w:r>
        <w:rPr/>
        <w:t>reliance</w:t>
      </w:r>
      <w:r>
        <w:rPr>
          <w:spacing w:val="-4"/>
        </w:rPr>
        <w:t> </w:t>
      </w:r>
      <w:r>
        <w:rPr/>
        <w:t>on</w:t>
      </w:r>
      <w:r>
        <w:rPr>
          <w:spacing w:val="-4"/>
        </w:rPr>
        <w:t> </w:t>
      </w:r>
      <w:r>
        <w:rPr/>
        <w:t>the</w:t>
      </w:r>
      <w:r>
        <w:rPr>
          <w:spacing w:val="-2"/>
        </w:rPr>
        <w:t> </w:t>
      </w:r>
      <w:r>
        <w:rPr/>
        <w:t>private</w:t>
      </w:r>
      <w:r>
        <w:rPr>
          <w:spacing w:val="-4"/>
        </w:rPr>
        <w:t> </w:t>
      </w:r>
      <w:r>
        <w:rPr/>
        <w:t>market</w:t>
      </w:r>
      <w:r>
        <w:rPr>
          <w:spacing w:val="-4"/>
        </w:rPr>
        <w:t> </w:t>
      </w:r>
      <w:r>
        <w:rPr/>
        <w:t>to</w:t>
      </w:r>
      <w:r>
        <w:rPr>
          <w:spacing w:val="-3"/>
        </w:rPr>
        <w:t> </w:t>
      </w:r>
      <w:r>
        <w:rPr/>
        <w:t>address</w:t>
      </w:r>
      <w:r>
        <w:rPr>
          <w:spacing w:val="-2"/>
        </w:rPr>
        <w:t> </w:t>
      </w:r>
      <w:r>
        <w:rPr/>
        <w:t>social</w:t>
      </w:r>
      <w:r>
        <w:rPr>
          <w:spacing w:val="-3"/>
        </w:rPr>
        <w:t> </w:t>
      </w:r>
      <w:r>
        <w:rPr/>
        <w:t>issues</w:t>
      </w:r>
      <w:r>
        <w:rPr>
          <w:spacing w:val="-3"/>
        </w:rPr>
        <w:t> </w:t>
      </w:r>
      <w:r>
        <w:rPr/>
        <w:t>exacerbates</w:t>
      </w:r>
      <w:r>
        <w:rPr>
          <w:spacing w:val="-1"/>
        </w:rPr>
        <w:t> </w:t>
      </w:r>
      <w:r>
        <w:rPr/>
        <w:t>already</w:t>
      </w:r>
      <w:r>
        <w:rPr>
          <w:spacing w:val="-2"/>
        </w:rPr>
        <w:t> </w:t>
      </w:r>
      <w:r>
        <w:rPr/>
        <w:t>existing social, economic and health inequity in Australia.</w:t>
      </w:r>
    </w:p>
    <w:p>
      <w:pPr>
        <w:pStyle w:val="BodyText"/>
        <w:spacing w:line="276" w:lineRule="auto" w:before="120"/>
        <w:ind w:right="1547"/>
      </w:pPr>
      <w:r>
        <w:rPr/>
        <w:t>Public</w:t>
      </w:r>
      <w:r>
        <w:rPr>
          <w:spacing w:val="-2"/>
        </w:rPr>
        <w:t> </w:t>
      </w:r>
      <w:r>
        <w:rPr/>
        <w:t>housing</w:t>
      </w:r>
      <w:r>
        <w:rPr>
          <w:spacing w:val="-2"/>
        </w:rPr>
        <w:t> </w:t>
      </w:r>
      <w:r>
        <w:rPr/>
        <w:t>plays</w:t>
      </w:r>
      <w:r>
        <w:rPr>
          <w:spacing w:val="-2"/>
        </w:rPr>
        <w:t> </w:t>
      </w:r>
      <w:r>
        <w:rPr/>
        <w:t>a</w:t>
      </w:r>
      <w:r>
        <w:rPr>
          <w:spacing w:val="-4"/>
        </w:rPr>
        <w:t> </w:t>
      </w:r>
      <w:r>
        <w:rPr/>
        <w:t>key</w:t>
      </w:r>
      <w:r>
        <w:rPr>
          <w:spacing w:val="-2"/>
        </w:rPr>
        <w:t> </w:t>
      </w:r>
      <w:r>
        <w:rPr/>
        <w:t>role</w:t>
      </w:r>
      <w:r>
        <w:rPr>
          <w:spacing w:val="-2"/>
        </w:rPr>
        <w:t> </w:t>
      </w:r>
      <w:r>
        <w:rPr/>
        <w:t>in</w:t>
      </w:r>
      <w:r>
        <w:rPr>
          <w:spacing w:val="-2"/>
        </w:rPr>
        <w:t> </w:t>
      </w:r>
      <w:r>
        <w:rPr/>
        <w:t>providing</w:t>
      </w:r>
      <w:r>
        <w:rPr>
          <w:spacing w:val="-3"/>
        </w:rPr>
        <w:t> </w:t>
      </w:r>
      <w:r>
        <w:rPr/>
        <w:t>an</w:t>
      </w:r>
      <w:r>
        <w:rPr>
          <w:spacing w:val="-2"/>
        </w:rPr>
        <w:t> </w:t>
      </w:r>
      <w:r>
        <w:rPr/>
        <w:t>alternative</w:t>
      </w:r>
      <w:r>
        <w:rPr>
          <w:spacing w:val="-1"/>
        </w:rPr>
        <w:t> </w:t>
      </w:r>
      <w:r>
        <w:rPr/>
        <w:t>source</w:t>
      </w:r>
      <w:r>
        <w:rPr>
          <w:spacing w:val="-2"/>
        </w:rPr>
        <w:t> </w:t>
      </w:r>
      <w:r>
        <w:rPr/>
        <w:t>of</w:t>
      </w:r>
      <w:r>
        <w:rPr>
          <w:spacing w:val="-5"/>
        </w:rPr>
        <w:t> </w:t>
      </w:r>
      <w:r>
        <w:rPr/>
        <w:t>housing</w:t>
      </w:r>
      <w:r>
        <w:rPr>
          <w:spacing w:val="-3"/>
        </w:rPr>
        <w:t> </w:t>
      </w:r>
      <w:r>
        <w:rPr/>
        <w:t>to</w:t>
      </w:r>
      <w:r>
        <w:rPr>
          <w:spacing w:val="-3"/>
        </w:rPr>
        <w:t> </w:t>
      </w:r>
      <w:r>
        <w:rPr/>
        <w:t>the</w:t>
      </w:r>
      <w:r>
        <w:rPr>
          <w:spacing w:val="-2"/>
        </w:rPr>
        <w:t> </w:t>
      </w:r>
      <w:r>
        <w:rPr/>
        <w:t>private</w:t>
      </w:r>
      <w:r>
        <w:rPr>
          <w:spacing w:val="-4"/>
        </w:rPr>
        <w:t> </w:t>
      </w:r>
      <w:r>
        <w:rPr/>
        <w:t>market, where migrant and refugee women often face significant discrimination and disadvantage.</w:t>
      </w:r>
    </w:p>
    <w:p>
      <w:pPr>
        <w:pStyle w:val="BodyText"/>
        <w:spacing w:line="276" w:lineRule="auto"/>
        <w:ind w:right="1483"/>
      </w:pPr>
      <w:r>
        <w:rPr/>
        <w:t>Experiences of housing discrimination concentrate migrants and refugee in poorer housing stock in areas with low access to amenities, transport and services, exacerbating social isolation and poor health</w:t>
      </w:r>
      <w:r>
        <w:rPr>
          <w:spacing w:val="-2"/>
        </w:rPr>
        <w:t> </w:t>
      </w:r>
      <w:r>
        <w:rPr/>
        <w:t>access</w:t>
      </w:r>
      <w:r>
        <w:rPr>
          <w:spacing w:val="-1"/>
        </w:rPr>
        <w:t> </w:t>
      </w:r>
      <w:r>
        <w:rPr/>
        <w:t>(Easthope</w:t>
      </w:r>
      <w:r>
        <w:rPr>
          <w:spacing w:val="-3"/>
        </w:rPr>
        <w:t> </w:t>
      </w:r>
      <w:r>
        <w:rPr/>
        <w:t>2018;</w:t>
      </w:r>
      <w:r>
        <w:rPr>
          <w:spacing w:val="-2"/>
        </w:rPr>
        <w:t> </w:t>
      </w:r>
      <w:r>
        <w:rPr/>
        <w:t>Ziersch</w:t>
      </w:r>
      <w:r>
        <w:rPr>
          <w:spacing w:val="-2"/>
        </w:rPr>
        <w:t> </w:t>
      </w:r>
      <w:r>
        <w:rPr/>
        <w:t>et</w:t>
      </w:r>
      <w:r>
        <w:rPr>
          <w:spacing w:val="-4"/>
        </w:rPr>
        <w:t> </w:t>
      </w:r>
      <w:r>
        <w:rPr/>
        <w:t>al.</w:t>
      </w:r>
      <w:r>
        <w:rPr>
          <w:spacing w:val="-2"/>
        </w:rPr>
        <w:t> </w:t>
      </w:r>
      <w:r>
        <w:rPr/>
        <w:t>2024).</w:t>
      </w:r>
      <w:r>
        <w:rPr>
          <w:spacing w:val="-5"/>
        </w:rPr>
        <w:t> </w:t>
      </w:r>
      <w:r>
        <w:rPr/>
        <w:t>This,</w:t>
      </w:r>
      <w:r>
        <w:rPr>
          <w:spacing w:val="-2"/>
        </w:rPr>
        <w:t> </w:t>
      </w:r>
      <w:r>
        <w:rPr/>
        <w:t>in</w:t>
      </w:r>
      <w:r>
        <w:rPr>
          <w:spacing w:val="-2"/>
        </w:rPr>
        <w:t> </w:t>
      </w:r>
      <w:r>
        <w:rPr/>
        <w:t>combination</w:t>
      </w:r>
      <w:r>
        <w:rPr>
          <w:spacing w:val="-3"/>
        </w:rPr>
        <w:t> </w:t>
      </w:r>
      <w:r>
        <w:rPr/>
        <w:t>with</w:t>
      </w:r>
      <w:r>
        <w:rPr>
          <w:spacing w:val="-2"/>
        </w:rPr>
        <w:t> </w:t>
      </w:r>
      <w:r>
        <w:rPr/>
        <w:t>a</w:t>
      </w:r>
      <w:r>
        <w:rPr>
          <w:spacing w:val="-4"/>
        </w:rPr>
        <w:t> </w:t>
      </w:r>
      <w:r>
        <w:rPr/>
        <w:t>more</w:t>
      </w:r>
      <w:r>
        <w:rPr>
          <w:spacing w:val="-2"/>
        </w:rPr>
        <w:t> </w:t>
      </w:r>
      <w:r>
        <w:rPr/>
        <w:t>general</w:t>
      </w:r>
      <w:r>
        <w:rPr>
          <w:spacing w:val="-2"/>
        </w:rPr>
        <w:t> </w:t>
      </w:r>
      <w:r>
        <w:rPr/>
        <w:t>housing crisis, has created a situation in which migrants and refugees are more likely to live in unsuitable, overcrowded housing, posing significant risks to their health and overall wellbeing (Brackertz et al. </w:t>
      </w:r>
      <w:r>
        <w:rPr>
          <w:spacing w:val="-2"/>
        </w:rPr>
        <w:t>2019)</w:t>
      </w:r>
    </w:p>
    <w:p>
      <w:pPr>
        <w:pStyle w:val="BodyText"/>
        <w:spacing w:line="276" w:lineRule="auto" w:before="121"/>
        <w:ind w:right="1483"/>
      </w:pPr>
      <w:r>
        <w:rPr/>
        <w:t>The gendered impact of the housing crisis has also been well established, with women facing significant inequity in accessing private housing, especially if they are single parents, carers, or people</w:t>
      </w:r>
      <w:r>
        <w:rPr>
          <w:spacing w:val="-3"/>
        </w:rPr>
        <w:t> </w:t>
      </w:r>
      <w:r>
        <w:rPr/>
        <w:t>with</w:t>
      </w:r>
      <w:r>
        <w:rPr>
          <w:spacing w:val="-1"/>
        </w:rPr>
        <w:t> </w:t>
      </w:r>
      <w:r>
        <w:rPr/>
        <w:t>a</w:t>
      </w:r>
      <w:r>
        <w:rPr>
          <w:spacing w:val="-4"/>
        </w:rPr>
        <w:t> </w:t>
      </w:r>
      <w:r>
        <w:rPr/>
        <w:t>disability,</w:t>
      </w:r>
      <w:r>
        <w:rPr>
          <w:spacing w:val="-3"/>
        </w:rPr>
        <w:t> </w:t>
      </w:r>
      <w:r>
        <w:rPr/>
        <w:t>or</w:t>
      </w:r>
      <w:r>
        <w:rPr>
          <w:spacing w:val="-3"/>
        </w:rPr>
        <w:t> </w:t>
      </w:r>
      <w:r>
        <w:rPr/>
        <w:t>elderly</w:t>
      </w:r>
      <w:r>
        <w:rPr>
          <w:spacing w:val="-3"/>
        </w:rPr>
        <w:t> </w:t>
      </w:r>
      <w:r>
        <w:rPr/>
        <w:t>themselves.</w:t>
      </w:r>
      <w:r>
        <w:rPr>
          <w:spacing w:val="-4"/>
        </w:rPr>
        <w:t> </w:t>
      </w:r>
      <w:r>
        <w:rPr/>
        <w:t>Women</w:t>
      </w:r>
      <w:r>
        <w:rPr>
          <w:spacing w:val="-2"/>
        </w:rPr>
        <w:t> </w:t>
      </w:r>
      <w:r>
        <w:rPr/>
        <w:t>tend</w:t>
      </w:r>
      <w:r>
        <w:rPr>
          <w:spacing w:val="-3"/>
        </w:rPr>
        <w:t> </w:t>
      </w:r>
      <w:r>
        <w:rPr/>
        <w:t>to earn</w:t>
      </w:r>
      <w:r>
        <w:rPr>
          <w:spacing w:val="-5"/>
        </w:rPr>
        <w:t> </w:t>
      </w:r>
      <w:r>
        <w:rPr/>
        <w:t>less</w:t>
      </w:r>
      <w:r>
        <w:rPr>
          <w:spacing w:val="-3"/>
        </w:rPr>
        <w:t> </w:t>
      </w:r>
      <w:r>
        <w:rPr/>
        <w:t>than</w:t>
      </w:r>
      <w:r>
        <w:rPr>
          <w:spacing w:val="-5"/>
        </w:rPr>
        <w:t> </w:t>
      </w:r>
      <w:r>
        <w:rPr/>
        <w:t>men and</w:t>
      </w:r>
      <w:r>
        <w:rPr>
          <w:spacing w:val="-2"/>
        </w:rPr>
        <w:t> </w:t>
      </w:r>
      <w:r>
        <w:rPr/>
        <w:t>have greater caring responsibilities, creating barriers to saving for a deposit or accruing superannuation, while increasing their need for multi bedroom housing (AHURI, 2024). For migrant and refugee women who are more represented in brackets under the poverty line (Census 2021) and face additional barriers to employment including lack of overseas qualification recognition and lack of local employment networks, these gendered barriers can be exacerbated by racialised and migration- based disadvantage (Hach 2019).</w:t>
      </w:r>
    </w:p>
    <w:p>
      <w:pPr>
        <w:pStyle w:val="BodyText"/>
        <w:spacing w:line="276" w:lineRule="auto" w:before="120"/>
        <w:ind w:right="1409"/>
      </w:pPr>
      <w:r>
        <w:rPr/>
        <w:t>Additionally, investment in public housing is also a crucial to improve women’s safety in Victoria. At present, domestic and family violence is the leading cause of homelessness for women (Homelessness Australia 2024). For migrant and refugee women, who face barriers to accessing mainstream</w:t>
      </w:r>
      <w:r>
        <w:rPr>
          <w:spacing w:val="-3"/>
        </w:rPr>
        <w:t> </w:t>
      </w:r>
      <w:r>
        <w:rPr/>
        <w:t>support</w:t>
      </w:r>
      <w:r>
        <w:rPr>
          <w:spacing w:val="-5"/>
        </w:rPr>
        <w:t> </w:t>
      </w:r>
      <w:r>
        <w:rPr/>
        <w:t>for</w:t>
      </w:r>
      <w:r>
        <w:rPr>
          <w:spacing w:val="-4"/>
        </w:rPr>
        <w:t> </w:t>
      </w:r>
      <w:r>
        <w:rPr/>
        <w:t>family</w:t>
      </w:r>
      <w:r>
        <w:rPr>
          <w:spacing w:val="-4"/>
        </w:rPr>
        <w:t> </w:t>
      </w:r>
      <w:r>
        <w:rPr/>
        <w:t>violence</w:t>
      </w:r>
      <w:r>
        <w:rPr>
          <w:spacing w:val="-2"/>
        </w:rPr>
        <w:t> </w:t>
      </w:r>
      <w:r>
        <w:rPr/>
        <w:t>(MCWH</w:t>
      </w:r>
      <w:r>
        <w:rPr>
          <w:spacing w:val="-5"/>
        </w:rPr>
        <w:t> </w:t>
      </w:r>
      <w:r>
        <w:rPr/>
        <w:t>2022)</w:t>
      </w:r>
      <w:r>
        <w:rPr>
          <w:spacing w:val="-1"/>
        </w:rPr>
        <w:t> </w:t>
      </w:r>
      <w:r>
        <w:rPr/>
        <w:t>and</w:t>
      </w:r>
      <w:r>
        <w:rPr>
          <w:spacing w:val="-3"/>
        </w:rPr>
        <w:t> </w:t>
      </w:r>
      <w:r>
        <w:rPr/>
        <w:t>compounding</w:t>
      </w:r>
      <w:r>
        <w:rPr>
          <w:spacing w:val="-2"/>
        </w:rPr>
        <w:t> </w:t>
      </w:r>
      <w:r>
        <w:rPr/>
        <w:t>disadvantage</w:t>
      </w:r>
      <w:r>
        <w:rPr>
          <w:spacing w:val="-2"/>
        </w:rPr>
        <w:t> </w:t>
      </w:r>
      <w:r>
        <w:rPr/>
        <w:t>in</w:t>
      </w:r>
      <w:r>
        <w:rPr>
          <w:spacing w:val="-3"/>
        </w:rPr>
        <w:t> </w:t>
      </w:r>
      <w:r>
        <w:rPr/>
        <w:t>the</w:t>
      </w:r>
      <w:r>
        <w:rPr>
          <w:spacing w:val="-4"/>
        </w:rPr>
        <w:t> </w:t>
      </w:r>
      <w:r>
        <w:rPr/>
        <w:t>private rental market, access to safe and secure public housing is crucial for assuring safety and wellbeing.</w:t>
      </w:r>
    </w:p>
    <w:p>
      <w:pPr>
        <w:pStyle w:val="BodyText"/>
        <w:spacing w:line="276" w:lineRule="auto" w:before="120"/>
        <w:ind w:right="1547"/>
      </w:pPr>
      <w:r>
        <w:rPr/>
        <w:t>Historically, Australian governments have taken a more proactive role at addressing the disadvantage</w:t>
      </w:r>
      <w:r>
        <w:rPr>
          <w:spacing w:val="-1"/>
        </w:rPr>
        <w:t> </w:t>
      </w:r>
      <w:r>
        <w:rPr/>
        <w:t>faced</w:t>
      </w:r>
      <w:r>
        <w:rPr>
          <w:spacing w:val="-1"/>
        </w:rPr>
        <w:t> </w:t>
      </w:r>
      <w:r>
        <w:rPr/>
        <w:t>by</w:t>
      </w:r>
      <w:r>
        <w:rPr>
          <w:spacing w:val="-5"/>
        </w:rPr>
        <w:t> </w:t>
      </w:r>
      <w:r>
        <w:rPr/>
        <w:t>migrants and</w:t>
      </w:r>
      <w:r>
        <w:rPr>
          <w:spacing w:val="-2"/>
        </w:rPr>
        <w:t> </w:t>
      </w:r>
      <w:r>
        <w:rPr/>
        <w:t>refugee</w:t>
      </w:r>
      <w:r>
        <w:rPr>
          <w:spacing w:val="-1"/>
        </w:rPr>
        <w:t> </w:t>
      </w:r>
      <w:r>
        <w:rPr/>
        <w:t>women</w:t>
      </w:r>
      <w:r>
        <w:rPr>
          <w:spacing w:val="-1"/>
        </w:rPr>
        <w:t> </w:t>
      </w:r>
      <w:r>
        <w:rPr/>
        <w:t>through</w:t>
      </w:r>
      <w:r>
        <w:rPr>
          <w:spacing w:val="-2"/>
        </w:rPr>
        <w:t> </w:t>
      </w:r>
      <w:r>
        <w:rPr/>
        <w:t>public</w:t>
      </w:r>
      <w:r>
        <w:rPr>
          <w:spacing w:val="-1"/>
        </w:rPr>
        <w:t> </w:t>
      </w:r>
      <w:r>
        <w:rPr/>
        <w:t>housing, ensuring</w:t>
      </w:r>
      <w:r>
        <w:rPr>
          <w:spacing w:val="-1"/>
        </w:rPr>
        <w:t> </w:t>
      </w:r>
      <w:r>
        <w:rPr/>
        <w:t>they can</w:t>
      </w:r>
      <w:r>
        <w:rPr>
          <w:spacing w:val="-5"/>
        </w:rPr>
        <w:t> </w:t>
      </w:r>
      <w:r>
        <w:rPr/>
        <w:t>also access</w:t>
      </w:r>
      <w:r>
        <w:rPr>
          <w:spacing w:val="-4"/>
        </w:rPr>
        <w:t> </w:t>
      </w:r>
      <w:r>
        <w:rPr/>
        <w:t>affordable,</w:t>
      </w:r>
      <w:r>
        <w:rPr>
          <w:spacing w:val="-2"/>
        </w:rPr>
        <w:t> </w:t>
      </w:r>
      <w:r>
        <w:rPr/>
        <w:t>safe</w:t>
      </w:r>
      <w:r>
        <w:rPr>
          <w:spacing w:val="-4"/>
        </w:rPr>
        <w:t> </w:t>
      </w:r>
      <w:r>
        <w:rPr/>
        <w:t>and</w:t>
      </w:r>
      <w:r>
        <w:rPr>
          <w:spacing w:val="-6"/>
        </w:rPr>
        <w:t> </w:t>
      </w:r>
      <w:r>
        <w:rPr/>
        <w:t>secure</w:t>
      </w:r>
      <w:r>
        <w:rPr>
          <w:spacing w:val="-4"/>
        </w:rPr>
        <w:t> </w:t>
      </w:r>
      <w:r>
        <w:rPr/>
        <w:t>homes</w:t>
      </w:r>
      <w:r>
        <w:rPr>
          <w:spacing w:val="-3"/>
        </w:rPr>
        <w:t> </w:t>
      </w:r>
      <w:r>
        <w:rPr/>
        <w:t>near</w:t>
      </w:r>
      <w:r>
        <w:rPr>
          <w:spacing w:val="-4"/>
        </w:rPr>
        <w:t> </w:t>
      </w:r>
      <w:r>
        <w:rPr/>
        <w:t>employment</w:t>
      </w:r>
      <w:r>
        <w:rPr>
          <w:spacing w:val="-2"/>
        </w:rPr>
        <w:t> </w:t>
      </w:r>
      <w:r>
        <w:rPr/>
        <w:t>centres,</w:t>
      </w:r>
      <w:r>
        <w:rPr>
          <w:spacing w:val="-2"/>
        </w:rPr>
        <w:t> </w:t>
      </w:r>
      <w:r>
        <w:rPr/>
        <w:t>support</w:t>
      </w:r>
      <w:r>
        <w:rPr>
          <w:spacing w:val="-5"/>
        </w:rPr>
        <w:t> </w:t>
      </w:r>
      <w:r>
        <w:rPr/>
        <w:t>services</w:t>
      </w:r>
      <w:r>
        <w:rPr>
          <w:spacing w:val="-3"/>
        </w:rPr>
        <w:t> </w:t>
      </w:r>
      <w:r>
        <w:rPr/>
        <w:t>and</w:t>
      </w:r>
      <w:r>
        <w:rPr>
          <w:spacing w:val="-3"/>
        </w:rPr>
        <w:t> </w:t>
      </w:r>
      <w:r>
        <w:rPr/>
        <w:t>transport corridors, allowing communities to thrive and develop a sense of belonging (Hu 2025; Easthope 2018; Nygaard 2022). This not only provides support to migrant and refugee women but also provides migrants and refugees more generally with a better chance for settlement success, which can benefit the whole community.</w:t>
      </w:r>
    </w:p>
    <w:p>
      <w:pPr>
        <w:pStyle w:val="Heading1"/>
        <w:spacing w:before="241"/>
      </w:pPr>
      <w:r>
        <w:rPr>
          <w:color w:val="333366"/>
          <w:spacing w:val="-2"/>
        </w:rPr>
        <w:t>Recommendations</w:t>
      </w:r>
    </w:p>
    <w:p>
      <w:pPr>
        <w:pStyle w:val="ListParagraph"/>
        <w:numPr>
          <w:ilvl w:val="0"/>
          <w:numId w:val="2"/>
        </w:numPr>
        <w:tabs>
          <w:tab w:pos="1798" w:val="left" w:leader="none"/>
          <w:tab w:pos="1800" w:val="left" w:leader="none"/>
        </w:tabs>
        <w:spacing w:line="276" w:lineRule="auto" w:before="119" w:after="0"/>
        <w:ind w:left="1800" w:right="1571" w:hanging="360"/>
        <w:jc w:val="left"/>
        <w:rPr>
          <w:sz w:val="22"/>
        </w:rPr>
      </w:pPr>
      <w:r>
        <w:rPr>
          <w:sz w:val="22"/>
        </w:rPr>
        <w:t>Consult directly with public</w:t>
      </w:r>
      <w:r>
        <w:rPr>
          <w:spacing w:val="-1"/>
          <w:sz w:val="22"/>
        </w:rPr>
        <w:t> </w:t>
      </w:r>
      <w:r>
        <w:rPr>
          <w:sz w:val="22"/>
        </w:rPr>
        <w:t>housing residents on how the plan will,</w:t>
      </w:r>
      <w:r>
        <w:rPr>
          <w:spacing w:val="-1"/>
          <w:sz w:val="22"/>
        </w:rPr>
        <w:t> </w:t>
      </w:r>
      <w:r>
        <w:rPr>
          <w:sz w:val="22"/>
        </w:rPr>
        <w:t>or</w:t>
      </w:r>
      <w:r>
        <w:rPr>
          <w:spacing w:val="-1"/>
          <w:sz w:val="22"/>
        </w:rPr>
        <w:t> </w:t>
      </w:r>
      <w:r>
        <w:rPr>
          <w:sz w:val="22"/>
        </w:rPr>
        <w:t>already has, impact their health and wellbeing. Consultations should be facilitated by trusted migrant and refugee organisations</w:t>
      </w:r>
      <w:r>
        <w:rPr>
          <w:spacing w:val="-2"/>
          <w:sz w:val="22"/>
        </w:rPr>
        <w:t> </w:t>
      </w:r>
      <w:r>
        <w:rPr>
          <w:sz w:val="22"/>
        </w:rPr>
        <w:t>and</w:t>
      </w:r>
      <w:r>
        <w:rPr>
          <w:spacing w:val="-5"/>
          <w:sz w:val="22"/>
        </w:rPr>
        <w:t> </w:t>
      </w:r>
      <w:r>
        <w:rPr>
          <w:sz w:val="22"/>
        </w:rPr>
        <w:t>offered</w:t>
      </w:r>
      <w:r>
        <w:rPr>
          <w:spacing w:val="-5"/>
          <w:sz w:val="22"/>
        </w:rPr>
        <w:t> </w:t>
      </w:r>
      <w:r>
        <w:rPr>
          <w:sz w:val="22"/>
        </w:rPr>
        <w:t>to</w:t>
      </w:r>
      <w:r>
        <w:rPr>
          <w:spacing w:val="-1"/>
          <w:sz w:val="22"/>
        </w:rPr>
        <w:t> </w:t>
      </w:r>
      <w:r>
        <w:rPr>
          <w:sz w:val="22"/>
        </w:rPr>
        <w:t>be</w:t>
      </w:r>
      <w:r>
        <w:rPr>
          <w:spacing w:val="-2"/>
          <w:sz w:val="22"/>
        </w:rPr>
        <w:t> </w:t>
      </w:r>
      <w:r>
        <w:rPr>
          <w:sz w:val="22"/>
        </w:rPr>
        <w:t>undertaken</w:t>
      </w:r>
      <w:r>
        <w:rPr>
          <w:spacing w:val="-6"/>
          <w:sz w:val="22"/>
        </w:rPr>
        <w:t> </w:t>
      </w:r>
      <w:r>
        <w:rPr>
          <w:sz w:val="22"/>
        </w:rPr>
        <w:t>verbally</w:t>
      </w:r>
      <w:r>
        <w:rPr>
          <w:spacing w:val="-2"/>
          <w:sz w:val="22"/>
        </w:rPr>
        <w:t> </w:t>
      </w:r>
      <w:r>
        <w:rPr>
          <w:sz w:val="22"/>
        </w:rPr>
        <w:t>and</w:t>
      </w:r>
      <w:r>
        <w:rPr>
          <w:spacing w:val="-3"/>
          <w:sz w:val="22"/>
        </w:rPr>
        <w:t> </w:t>
      </w:r>
      <w:r>
        <w:rPr>
          <w:sz w:val="22"/>
        </w:rPr>
        <w:t>in</w:t>
      </w:r>
      <w:r>
        <w:rPr>
          <w:spacing w:val="-2"/>
          <w:sz w:val="22"/>
        </w:rPr>
        <w:t> </w:t>
      </w:r>
      <w:r>
        <w:rPr>
          <w:sz w:val="22"/>
        </w:rPr>
        <w:t>the</w:t>
      </w:r>
      <w:r>
        <w:rPr>
          <w:spacing w:val="-2"/>
          <w:sz w:val="22"/>
        </w:rPr>
        <w:t> </w:t>
      </w:r>
      <w:r>
        <w:rPr>
          <w:sz w:val="22"/>
        </w:rPr>
        <w:t>preferred</w:t>
      </w:r>
      <w:r>
        <w:rPr>
          <w:spacing w:val="-3"/>
          <w:sz w:val="22"/>
        </w:rPr>
        <w:t> </w:t>
      </w:r>
      <w:r>
        <w:rPr>
          <w:sz w:val="22"/>
        </w:rPr>
        <w:t>language</w:t>
      </w:r>
      <w:r>
        <w:rPr>
          <w:spacing w:val="-2"/>
          <w:sz w:val="22"/>
        </w:rPr>
        <w:t> </w:t>
      </w:r>
      <w:r>
        <w:rPr>
          <w:sz w:val="22"/>
        </w:rPr>
        <w:t>of</w:t>
      </w:r>
      <w:r>
        <w:rPr>
          <w:spacing w:val="-5"/>
          <w:sz w:val="22"/>
        </w:rPr>
        <w:t> </w:t>
      </w:r>
      <w:r>
        <w:rPr>
          <w:sz w:val="22"/>
        </w:rPr>
        <w:t>residents, noting that many speak a language other than English at home.</w:t>
      </w:r>
    </w:p>
    <w:p>
      <w:pPr>
        <w:pStyle w:val="ListParagraph"/>
        <w:numPr>
          <w:ilvl w:val="0"/>
          <w:numId w:val="2"/>
        </w:numPr>
        <w:tabs>
          <w:tab w:pos="1798" w:val="left" w:leader="none"/>
          <w:tab w:pos="1800" w:val="left" w:leader="none"/>
        </w:tabs>
        <w:spacing w:line="276" w:lineRule="auto" w:before="1" w:after="0"/>
        <w:ind w:left="1800" w:right="1963" w:hanging="360"/>
        <w:jc w:val="left"/>
        <w:rPr>
          <w:sz w:val="22"/>
        </w:rPr>
      </w:pPr>
      <w:r>
        <w:rPr>
          <w:sz w:val="22"/>
        </w:rPr>
        <w:t>Consult directly with multicultural, community health and women’s organisations on the potential</w:t>
      </w:r>
      <w:r>
        <w:rPr>
          <w:spacing w:val="-4"/>
          <w:sz w:val="22"/>
        </w:rPr>
        <w:t> </w:t>
      </w:r>
      <w:r>
        <w:rPr>
          <w:sz w:val="22"/>
        </w:rPr>
        <w:t>health</w:t>
      </w:r>
      <w:r>
        <w:rPr>
          <w:spacing w:val="-1"/>
          <w:sz w:val="22"/>
        </w:rPr>
        <w:t> </w:t>
      </w:r>
      <w:r>
        <w:rPr>
          <w:sz w:val="22"/>
        </w:rPr>
        <w:t>and</w:t>
      </w:r>
      <w:r>
        <w:rPr>
          <w:spacing w:val="-4"/>
          <w:sz w:val="22"/>
        </w:rPr>
        <w:t> </w:t>
      </w:r>
      <w:r>
        <w:rPr>
          <w:sz w:val="22"/>
        </w:rPr>
        <w:t>wellbeing</w:t>
      </w:r>
      <w:r>
        <w:rPr>
          <w:spacing w:val="-2"/>
          <w:sz w:val="22"/>
        </w:rPr>
        <w:t> </w:t>
      </w:r>
      <w:r>
        <w:rPr>
          <w:sz w:val="22"/>
        </w:rPr>
        <w:t>impacts</w:t>
      </w:r>
      <w:r>
        <w:rPr>
          <w:spacing w:val="-3"/>
          <w:sz w:val="22"/>
        </w:rPr>
        <w:t> </w:t>
      </w:r>
      <w:r>
        <w:rPr>
          <w:sz w:val="22"/>
        </w:rPr>
        <w:t>of</w:t>
      </w:r>
      <w:r>
        <w:rPr>
          <w:spacing w:val="-1"/>
          <w:sz w:val="22"/>
        </w:rPr>
        <w:t> </w:t>
      </w:r>
      <w:r>
        <w:rPr>
          <w:sz w:val="22"/>
        </w:rPr>
        <w:t>the</w:t>
      </w:r>
      <w:r>
        <w:rPr>
          <w:spacing w:val="-3"/>
          <w:sz w:val="22"/>
        </w:rPr>
        <w:t> </w:t>
      </w:r>
      <w:r>
        <w:rPr>
          <w:sz w:val="22"/>
        </w:rPr>
        <w:t>plan</w:t>
      </w:r>
      <w:r>
        <w:rPr>
          <w:spacing w:val="-2"/>
          <w:sz w:val="22"/>
        </w:rPr>
        <w:t> </w:t>
      </w:r>
      <w:r>
        <w:rPr>
          <w:sz w:val="22"/>
        </w:rPr>
        <w:t>on</w:t>
      </w:r>
      <w:r>
        <w:rPr>
          <w:spacing w:val="-5"/>
          <w:sz w:val="22"/>
        </w:rPr>
        <w:t> </w:t>
      </w:r>
      <w:r>
        <w:rPr>
          <w:sz w:val="22"/>
        </w:rPr>
        <w:t>residents</w:t>
      </w:r>
      <w:r>
        <w:rPr>
          <w:spacing w:val="-4"/>
          <w:sz w:val="22"/>
        </w:rPr>
        <w:t> </w:t>
      </w:r>
      <w:r>
        <w:rPr>
          <w:sz w:val="22"/>
        </w:rPr>
        <w:t>and</w:t>
      </w:r>
      <w:r>
        <w:rPr>
          <w:spacing w:val="-3"/>
          <w:sz w:val="22"/>
        </w:rPr>
        <w:t> </w:t>
      </w:r>
      <w:r>
        <w:rPr>
          <w:sz w:val="22"/>
        </w:rPr>
        <w:t>the</w:t>
      </w:r>
      <w:r>
        <w:rPr>
          <w:spacing w:val="-3"/>
          <w:sz w:val="22"/>
        </w:rPr>
        <w:t> </w:t>
      </w:r>
      <w:r>
        <w:rPr>
          <w:sz w:val="22"/>
        </w:rPr>
        <w:t>wider</w:t>
      </w:r>
      <w:r>
        <w:rPr>
          <w:spacing w:val="-3"/>
          <w:sz w:val="22"/>
        </w:rPr>
        <w:t> </w:t>
      </w:r>
      <w:r>
        <w:rPr>
          <w:sz w:val="22"/>
        </w:rPr>
        <w:t>multicultural community in Melbourne.</w:t>
      </w:r>
    </w:p>
    <w:p>
      <w:pPr>
        <w:pStyle w:val="ListParagraph"/>
        <w:spacing w:after="0" w:line="276" w:lineRule="auto"/>
        <w:jc w:val="left"/>
        <w:rPr>
          <w:sz w:val="22"/>
        </w:rPr>
        <w:sectPr>
          <w:pgSz w:w="11910" w:h="16840"/>
          <w:pgMar w:header="0" w:footer="891" w:top="1380" w:bottom="1080" w:left="0" w:right="0"/>
        </w:sectPr>
      </w:pPr>
    </w:p>
    <w:p>
      <w:pPr>
        <w:pStyle w:val="ListParagraph"/>
        <w:numPr>
          <w:ilvl w:val="0"/>
          <w:numId w:val="2"/>
        </w:numPr>
        <w:tabs>
          <w:tab w:pos="1798" w:val="left" w:leader="none"/>
          <w:tab w:pos="1800" w:val="left" w:leader="none"/>
        </w:tabs>
        <w:spacing w:line="276" w:lineRule="auto" w:before="41" w:after="0"/>
        <w:ind w:left="1800" w:right="1728" w:hanging="360"/>
        <w:jc w:val="left"/>
        <w:rPr>
          <w:sz w:val="22"/>
        </w:rPr>
      </w:pPr>
      <w:r>
        <w:rPr>
          <w:sz w:val="22"/>
        </w:rPr>
        <w:t>Publicly</w:t>
      </w:r>
      <w:r>
        <w:rPr>
          <w:spacing w:val="-2"/>
          <w:sz w:val="22"/>
        </w:rPr>
        <w:t> </w:t>
      </w:r>
      <w:r>
        <w:rPr>
          <w:sz w:val="22"/>
        </w:rPr>
        <w:t>release</w:t>
      </w:r>
      <w:r>
        <w:rPr>
          <w:spacing w:val="-3"/>
          <w:sz w:val="22"/>
        </w:rPr>
        <w:t> </w:t>
      </w:r>
      <w:r>
        <w:rPr>
          <w:sz w:val="22"/>
        </w:rPr>
        <w:t>rationale</w:t>
      </w:r>
      <w:r>
        <w:rPr>
          <w:spacing w:val="-5"/>
          <w:sz w:val="22"/>
        </w:rPr>
        <w:t> </w:t>
      </w:r>
      <w:r>
        <w:rPr>
          <w:sz w:val="22"/>
        </w:rPr>
        <w:t>and</w:t>
      </w:r>
      <w:r>
        <w:rPr>
          <w:spacing w:val="-4"/>
          <w:sz w:val="22"/>
        </w:rPr>
        <w:t> </w:t>
      </w:r>
      <w:r>
        <w:rPr>
          <w:sz w:val="22"/>
        </w:rPr>
        <w:t>feasibility</w:t>
      </w:r>
      <w:r>
        <w:rPr>
          <w:spacing w:val="-1"/>
          <w:sz w:val="22"/>
        </w:rPr>
        <w:t> </w:t>
      </w:r>
      <w:r>
        <w:rPr>
          <w:sz w:val="22"/>
        </w:rPr>
        <w:t>reports</w:t>
      </w:r>
      <w:r>
        <w:rPr>
          <w:spacing w:val="-2"/>
          <w:sz w:val="22"/>
        </w:rPr>
        <w:t> </w:t>
      </w:r>
      <w:r>
        <w:rPr>
          <w:sz w:val="22"/>
        </w:rPr>
        <w:t>regarding</w:t>
      </w:r>
      <w:r>
        <w:rPr>
          <w:spacing w:val="-4"/>
          <w:sz w:val="22"/>
        </w:rPr>
        <w:t> </w:t>
      </w:r>
      <w:r>
        <w:rPr>
          <w:sz w:val="22"/>
        </w:rPr>
        <w:t>the</w:t>
      </w:r>
      <w:r>
        <w:rPr>
          <w:spacing w:val="-3"/>
          <w:sz w:val="22"/>
        </w:rPr>
        <w:t> </w:t>
      </w:r>
      <w:r>
        <w:rPr>
          <w:sz w:val="22"/>
        </w:rPr>
        <w:t>plan</w:t>
      </w:r>
      <w:r>
        <w:rPr>
          <w:spacing w:val="-5"/>
          <w:sz w:val="22"/>
        </w:rPr>
        <w:t> </w:t>
      </w:r>
      <w:r>
        <w:rPr>
          <w:sz w:val="22"/>
        </w:rPr>
        <w:t>that</w:t>
      </w:r>
      <w:r>
        <w:rPr>
          <w:spacing w:val="-3"/>
          <w:sz w:val="22"/>
        </w:rPr>
        <w:t> </w:t>
      </w:r>
      <w:r>
        <w:rPr>
          <w:sz w:val="22"/>
        </w:rPr>
        <w:t>directly</w:t>
      </w:r>
      <w:r>
        <w:rPr>
          <w:spacing w:val="-5"/>
          <w:sz w:val="22"/>
        </w:rPr>
        <w:t> </w:t>
      </w:r>
      <w:r>
        <w:rPr>
          <w:sz w:val="22"/>
        </w:rPr>
        <w:t>weigh</w:t>
      </w:r>
      <w:r>
        <w:rPr>
          <w:spacing w:val="-4"/>
          <w:sz w:val="22"/>
        </w:rPr>
        <w:t> </w:t>
      </w:r>
      <w:r>
        <w:rPr>
          <w:sz w:val="22"/>
        </w:rPr>
        <w:t>options for improving social housing (including refurbishment, infilling and retrofitting), against the impact of displacement or intrusion on resident health, wellbeing and access to support.</w:t>
      </w:r>
    </w:p>
    <w:p>
      <w:pPr>
        <w:pStyle w:val="ListParagraph"/>
        <w:numPr>
          <w:ilvl w:val="0"/>
          <w:numId w:val="2"/>
        </w:numPr>
        <w:tabs>
          <w:tab w:pos="1798" w:val="left" w:leader="none"/>
          <w:tab w:pos="1800" w:val="left" w:leader="none"/>
        </w:tabs>
        <w:spacing w:line="276" w:lineRule="auto" w:before="0" w:after="0"/>
        <w:ind w:left="1800" w:right="1557" w:hanging="360"/>
        <w:jc w:val="left"/>
        <w:rPr>
          <w:sz w:val="22"/>
        </w:rPr>
      </w:pPr>
      <w:r>
        <w:rPr>
          <w:sz w:val="22"/>
        </w:rPr>
        <w:t>Produce and publish a detailed Social Impact Assessment regarding the impact any proposed plans for the 44 towers will have on resident health and wellbeing, including intersectional analysis</w:t>
      </w:r>
      <w:r>
        <w:rPr>
          <w:spacing w:val="-4"/>
          <w:sz w:val="22"/>
        </w:rPr>
        <w:t> </w:t>
      </w:r>
      <w:r>
        <w:rPr>
          <w:sz w:val="22"/>
        </w:rPr>
        <w:t>on</w:t>
      </w:r>
      <w:r>
        <w:rPr>
          <w:spacing w:val="-3"/>
          <w:sz w:val="22"/>
        </w:rPr>
        <w:t> </w:t>
      </w:r>
      <w:r>
        <w:rPr>
          <w:sz w:val="22"/>
        </w:rPr>
        <w:t>if</w:t>
      </w:r>
      <w:r>
        <w:rPr>
          <w:spacing w:val="-2"/>
          <w:sz w:val="22"/>
        </w:rPr>
        <w:t> </w:t>
      </w:r>
      <w:r>
        <w:rPr>
          <w:sz w:val="22"/>
        </w:rPr>
        <w:t>these</w:t>
      </w:r>
      <w:r>
        <w:rPr>
          <w:spacing w:val="-2"/>
          <w:sz w:val="22"/>
        </w:rPr>
        <w:t> </w:t>
      </w:r>
      <w:r>
        <w:rPr>
          <w:sz w:val="22"/>
        </w:rPr>
        <w:t>impacts</w:t>
      </w:r>
      <w:r>
        <w:rPr>
          <w:spacing w:val="-4"/>
          <w:sz w:val="22"/>
        </w:rPr>
        <w:t> </w:t>
      </w:r>
      <w:r>
        <w:rPr>
          <w:sz w:val="22"/>
        </w:rPr>
        <w:t>will</w:t>
      </w:r>
      <w:r>
        <w:rPr>
          <w:spacing w:val="-2"/>
          <w:sz w:val="22"/>
        </w:rPr>
        <w:t> </w:t>
      </w:r>
      <w:r>
        <w:rPr>
          <w:sz w:val="22"/>
        </w:rPr>
        <w:t>disproportionately</w:t>
      </w:r>
      <w:r>
        <w:rPr>
          <w:spacing w:val="-2"/>
          <w:sz w:val="22"/>
        </w:rPr>
        <w:t> </w:t>
      </w:r>
      <w:r>
        <w:rPr>
          <w:sz w:val="22"/>
        </w:rPr>
        <w:t>impact groups</w:t>
      </w:r>
      <w:r>
        <w:rPr>
          <w:spacing w:val="-4"/>
          <w:sz w:val="22"/>
        </w:rPr>
        <w:t> </w:t>
      </w:r>
      <w:r>
        <w:rPr>
          <w:sz w:val="22"/>
        </w:rPr>
        <w:t>such</w:t>
      </w:r>
      <w:r>
        <w:rPr>
          <w:spacing w:val="-4"/>
          <w:sz w:val="22"/>
        </w:rPr>
        <w:t> </w:t>
      </w:r>
      <w:r>
        <w:rPr>
          <w:sz w:val="22"/>
        </w:rPr>
        <w:t>as</w:t>
      </w:r>
      <w:r>
        <w:rPr>
          <w:spacing w:val="-3"/>
          <w:sz w:val="22"/>
        </w:rPr>
        <w:t> </w:t>
      </w:r>
      <w:r>
        <w:rPr>
          <w:sz w:val="22"/>
        </w:rPr>
        <w:t>women,</w:t>
      </w:r>
      <w:r>
        <w:rPr>
          <w:spacing w:val="-2"/>
          <w:sz w:val="22"/>
        </w:rPr>
        <w:t> </w:t>
      </w:r>
      <w:r>
        <w:rPr>
          <w:sz w:val="22"/>
        </w:rPr>
        <w:t>migrants</w:t>
      </w:r>
      <w:r>
        <w:rPr>
          <w:spacing w:val="-4"/>
          <w:sz w:val="22"/>
        </w:rPr>
        <w:t> </w:t>
      </w:r>
      <w:r>
        <w:rPr>
          <w:sz w:val="22"/>
        </w:rPr>
        <w:t>and refugees, older people, and people with a disability or health condition.</w:t>
      </w:r>
    </w:p>
    <w:p>
      <w:pPr>
        <w:pStyle w:val="ListParagraph"/>
        <w:numPr>
          <w:ilvl w:val="0"/>
          <w:numId w:val="2"/>
        </w:numPr>
        <w:tabs>
          <w:tab w:pos="1798" w:val="left" w:leader="none"/>
          <w:tab w:pos="1800" w:val="left" w:leader="none"/>
        </w:tabs>
        <w:spacing w:line="273" w:lineRule="auto" w:before="1" w:after="0"/>
        <w:ind w:left="1800" w:right="1522" w:hanging="360"/>
        <w:jc w:val="left"/>
        <w:rPr>
          <w:sz w:val="22"/>
        </w:rPr>
      </w:pPr>
      <w:r>
        <w:rPr>
          <w:sz w:val="22"/>
        </w:rPr>
        <w:t>Consult</w:t>
      </w:r>
      <w:r>
        <w:rPr>
          <w:spacing w:val="-4"/>
          <w:sz w:val="22"/>
        </w:rPr>
        <w:t> </w:t>
      </w:r>
      <w:r>
        <w:rPr>
          <w:sz w:val="22"/>
        </w:rPr>
        <w:t>with</w:t>
      </w:r>
      <w:r>
        <w:rPr>
          <w:spacing w:val="-4"/>
          <w:sz w:val="22"/>
        </w:rPr>
        <w:t> </w:t>
      </w:r>
      <w:r>
        <w:rPr>
          <w:sz w:val="22"/>
        </w:rPr>
        <w:t>migrant</w:t>
      </w:r>
      <w:r>
        <w:rPr>
          <w:spacing w:val="-2"/>
          <w:sz w:val="22"/>
        </w:rPr>
        <w:t> </w:t>
      </w:r>
      <w:r>
        <w:rPr>
          <w:sz w:val="22"/>
        </w:rPr>
        <w:t>and</w:t>
      </w:r>
      <w:r>
        <w:rPr>
          <w:spacing w:val="-3"/>
          <w:sz w:val="22"/>
        </w:rPr>
        <w:t> </w:t>
      </w:r>
      <w:r>
        <w:rPr>
          <w:sz w:val="22"/>
        </w:rPr>
        <w:t>refugee</w:t>
      </w:r>
      <w:r>
        <w:rPr>
          <w:spacing w:val="-2"/>
          <w:sz w:val="22"/>
        </w:rPr>
        <w:t> </w:t>
      </w:r>
      <w:r>
        <w:rPr>
          <w:sz w:val="22"/>
        </w:rPr>
        <w:t>communities,</w:t>
      </w:r>
      <w:r>
        <w:rPr>
          <w:spacing w:val="-2"/>
          <w:sz w:val="22"/>
        </w:rPr>
        <w:t> </w:t>
      </w:r>
      <w:r>
        <w:rPr>
          <w:sz w:val="22"/>
        </w:rPr>
        <w:t>and</w:t>
      </w:r>
      <w:r>
        <w:rPr>
          <w:spacing w:val="-5"/>
          <w:sz w:val="22"/>
        </w:rPr>
        <w:t> </w:t>
      </w:r>
      <w:r>
        <w:rPr>
          <w:sz w:val="22"/>
        </w:rPr>
        <w:t>organisations</w:t>
      </w:r>
      <w:r>
        <w:rPr>
          <w:spacing w:val="-2"/>
          <w:sz w:val="22"/>
        </w:rPr>
        <w:t> </w:t>
      </w:r>
      <w:r>
        <w:rPr>
          <w:sz w:val="22"/>
        </w:rPr>
        <w:t>that</w:t>
      </w:r>
      <w:r>
        <w:rPr>
          <w:spacing w:val="-2"/>
          <w:sz w:val="22"/>
        </w:rPr>
        <w:t> </w:t>
      </w:r>
      <w:r>
        <w:rPr>
          <w:sz w:val="22"/>
        </w:rPr>
        <w:t>represent</w:t>
      </w:r>
      <w:r>
        <w:rPr>
          <w:spacing w:val="-4"/>
          <w:sz w:val="22"/>
        </w:rPr>
        <w:t> </w:t>
      </w:r>
      <w:r>
        <w:rPr>
          <w:sz w:val="22"/>
        </w:rPr>
        <w:t>them,</w:t>
      </w:r>
      <w:r>
        <w:rPr>
          <w:spacing w:val="-4"/>
          <w:sz w:val="22"/>
        </w:rPr>
        <w:t> </w:t>
      </w:r>
      <w:r>
        <w:rPr>
          <w:sz w:val="22"/>
        </w:rPr>
        <w:t>on</w:t>
      </w:r>
      <w:r>
        <w:rPr>
          <w:spacing w:val="-3"/>
          <w:sz w:val="22"/>
        </w:rPr>
        <w:t> </w:t>
      </w:r>
      <w:r>
        <w:rPr>
          <w:sz w:val="22"/>
        </w:rPr>
        <w:t>their housing needs, taking an intersectional approach to all housing planning.</w:t>
      </w:r>
    </w:p>
    <w:p>
      <w:pPr>
        <w:pStyle w:val="ListParagraph"/>
        <w:numPr>
          <w:ilvl w:val="0"/>
          <w:numId w:val="2"/>
        </w:numPr>
        <w:tabs>
          <w:tab w:pos="1798" w:val="left" w:leader="none"/>
          <w:tab w:pos="1800" w:val="left" w:leader="none"/>
        </w:tabs>
        <w:spacing w:line="276" w:lineRule="auto" w:before="4" w:after="0"/>
        <w:ind w:left="1800" w:right="1468" w:hanging="360"/>
        <w:jc w:val="left"/>
        <w:rPr>
          <w:sz w:val="22"/>
        </w:rPr>
      </w:pPr>
      <w:r>
        <w:rPr>
          <w:sz w:val="22"/>
        </w:rPr>
        <w:t>Advocate</w:t>
      </w:r>
      <w:r>
        <w:rPr>
          <w:spacing w:val="-5"/>
          <w:sz w:val="22"/>
        </w:rPr>
        <w:t> </w:t>
      </w:r>
      <w:r>
        <w:rPr>
          <w:sz w:val="22"/>
        </w:rPr>
        <w:t>to</w:t>
      </w:r>
      <w:r>
        <w:rPr>
          <w:spacing w:val="-4"/>
          <w:sz w:val="22"/>
        </w:rPr>
        <w:t> </w:t>
      </w:r>
      <w:r>
        <w:rPr>
          <w:sz w:val="22"/>
        </w:rPr>
        <w:t>the</w:t>
      </w:r>
      <w:r>
        <w:rPr>
          <w:spacing w:val="-3"/>
          <w:sz w:val="22"/>
        </w:rPr>
        <w:t> </w:t>
      </w:r>
      <w:r>
        <w:rPr>
          <w:sz w:val="22"/>
        </w:rPr>
        <w:t>Federal</w:t>
      </w:r>
      <w:r>
        <w:rPr>
          <w:spacing w:val="-3"/>
          <w:sz w:val="22"/>
        </w:rPr>
        <w:t> </w:t>
      </w:r>
      <w:r>
        <w:rPr>
          <w:sz w:val="22"/>
        </w:rPr>
        <w:t>Government</w:t>
      </w:r>
      <w:r>
        <w:rPr>
          <w:spacing w:val="-1"/>
          <w:sz w:val="22"/>
        </w:rPr>
        <w:t> </w:t>
      </w:r>
      <w:r>
        <w:rPr>
          <w:sz w:val="22"/>
        </w:rPr>
        <w:t>regarding</w:t>
      </w:r>
      <w:r>
        <w:rPr>
          <w:spacing w:val="-4"/>
          <w:sz w:val="22"/>
        </w:rPr>
        <w:t> </w:t>
      </w:r>
      <w:r>
        <w:rPr>
          <w:sz w:val="22"/>
        </w:rPr>
        <w:t>the</w:t>
      </w:r>
      <w:r>
        <w:rPr>
          <w:spacing w:val="-1"/>
          <w:sz w:val="22"/>
        </w:rPr>
        <w:t> </w:t>
      </w:r>
      <w:r>
        <w:rPr>
          <w:sz w:val="22"/>
        </w:rPr>
        <w:t>need</w:t>
      </w:r>
      <w:r>
        <w:rPr>
          <w:spacing w:val="-3"/>
          <w:sz w:val="22"/>
        </w:rPr>
        <w:t> </w:t>
      </w:r>
      <w:r>
        <w:rPr>
          <w:sz w:val="22"/>
        </w:rPr>
        <w:t>for</w:t>
      </w:r>
      <w:r>
        <w:rPr>
          <w:spacing w:val="-3"/>
          <w:sz w:val="22"/>
        </w:rPr>
        <w:t> </w:t>
      </w:r>
      <w:r>
        <w:rPr>
          <w:sz w:val="22"/>
        </w:rPr>
        <w:t>intergovernmental</w:t>
      </w:r>
      <w:r>
        <w:rPr>
          <w:spacing w:val="-3"/>
          <w:sz w:val="22"/>
        </w:rPr>
        <w:t> </w:t>
      </w:r>
      <w:r>
        <w:rPr>
          <w:sz w:val="22"/>
        </w:rPr>
        <w:t>collaboration</w:t>
      </w:r>
      <w:r>
        <w:rPr>
          <w:spacing w:val="-6"/>
          <w:sz w:val="22"/>
        </w:rPr>
        <w:t> </w:t>
      </w:r>
      <w:r>
        <w:rPr>
          <w:sz w:val="22"/>
        </w:rPr>
        <w:t>on migration and housing, and support MCWH’s recommendation for the development of a new Migrant and Refugee Housing strategy to ensure a coordinate response to meeting the housing and settlement needs of humanitarian entrants and temporary visa-holders, in metropolitan, regional, and remote areas.</w:t>
      </w:r>
    </w:p>
    <w:p>
      <w:pPr>
        <w:pStyle w:val="ListParagraph"/>
        <w:numPr>
          <w:ilvl w:val="0"/>
          <w:numId w:val="2"/>
        </w:numPr>
        <w:tabs>
          <w:tab w:pos="1798" w:val="left" w:leader="none"/>
          <w:tab w:pos="1800" w:val="left" w:leader="none"/>
        </w:tabs>
        <w:spacing w:line="276" w:lineRule="auto" w:before="2" w:after="0"/>
        <w:ind w:left="1800" w:right="1595" w:hanging="360"/>
        <w:jc w:val="both"/>
        <w:rPr>
          <w:sz w:val="22"/>
        </w:rPr>
      </w:pPr>
      <w:r>
        <w:rPr>
          <w:sz w:val="22"/>
        </w:rPr>
        <w:t>Build</w:t>
      </w:r>
      <w:r>
        <w:rPr>
          <w:spacing w:val="-3"/>
          <w:sz w:val="22"/>
        </w:rPr>
        <w:t> </w:t>
      </w:r>
      <w:r>
        <w:rPr>
          <w:sz w:val="22"/>
        </w:rPr>
        <w:t>and</w:t>
      </w:r>
      <w:r>
        <w:rPr>
          <w:spacing w:val="-3"/>
          <w:sz w:val="22"/>
        </w:rPr>
        <w:t> </w:t>
      </w:r>
      <w:r>
        <w:rPr>
          <w:sz w:val="22"/>
        </w:rPr>
        <w:t>acquire</w:t>
      </w:r>
      <w:r>
        <w:rPr>
          <w:spacing w:val="-2"/>
          <w:sz w:val="22"/>
        </w:rPr>
        <w:t> </w:t>
      </w:r>
      <w:r>
        <w:rPr>
          <w:sz w:val="22"/>
        </w:rPr>
        <w:t>new</w:t>
      </w:r>
      <w:r>
        <w:rPr>
          <w:spacing w:val="-4"/>
          <w:sz w:val="22"/>
        </w:rPr>
        <w:t> </w:t>
      </w:r>
      <w:r>
        <w:rPr>
          <w:sz w:val="22"/>
        </w:rPr>
        <w:t>public</w:t>
      </w:r>
      <w:r>
        <w:rPr>
          <w:spacing w:val="-2"/>
          <w:sz w:val="22"/>
        </w:rPr>
        <w:t> </w:t>
      </w:r>
      <w:r>
        <w:rPr>
          <w:sz w:val="22"/>
        </w:rPr>
        <w:t>housing</w:t>
      </w:r>
      <w:r>
        <w:rPr>
          <w:spacing w:val="-3"/>
          <w:sz w:val="22"/>
        </w:rPr>
        <w:t> </w:t>
      </w:r>
      <w:r>
        <w:rPr>
          <w:sz w:val="22"/>
        </w:rPr>
        <w:t>prior</w:t>
      </w:r>
      <w:r>
        <w:rPr>
          <w:spacing w:val="-5"/>
          <w:sz w:val="22"/>
        </w:rPr>
        <w:t> </w:t>
      </w:r>
      <w:r>
        <w:rPr>
          <w:sz w:val="22"/>
        </w:rPr>
        <w:t>to</w:t>
      </w:r>
      <w:r>
        <w:rPr>
          <w:spacing w:val="-1"/>
          <w:sz w:val="22"/>
        </w:rPr>
        <w:t> </w:t>
      </w:r>
      <w:r>
        <w:rPr>
          <w:sz w:val="22"/>
        </w:rPr>
        <w:t>the</w:t>
      </w:r>
      <w:r>
        <w:rPr>
          <w:spacing w:val="-4"/>
          <w:sz w:val="22"/>
        </w:rPr>
        <w:t> </w:t>
      </w:r>
      <w:r>
        <w:rPr>
          <w:sz w:val="22"/>
        </w:rPr>
        <w:t>redevelopment</w:t>
      </w:r>
      <w:r>
        <w:rPr>
          <w:spacing w:val="-4"/>
          <w:sz w:val="22"/>
        </w:rPr>
        <w:t> </w:t>
      </w:r>
      <w:r>
        <w:rPr>
          <w:sz w:val="22"/>
        </w:rPr>
        <w:t>of</w:t>
      </w:r>
      <w:r>
        <w:rPr>
          <w:spacing w:val="-2"/>
          <w:sz w:val="22"/>
        </w:rPr>
        <w:t> </w:t>
      </w:r>
      <w:r>
        <w:rPr>
          <w:sz w:val="22"/>
        </w:rPr>
        <w:t>any</w:t>
      </w:r>
      <w:r>
        <w:rPr>
          <w:spacing w:val="-4"/>
          <w:sz w:val="22"/>
        </w:rPr>
        <w:t> </w:t>
      </w:r>
      <w:r>
        <w:rPr>
          <w:sz w:val="22"/>
        </w:rPr>
        <w:t>existing</w:t>
      </w:r>
      <w:r>
        <w:rPr>
          <w:spacing w:val="-5"/>
          <w:sz w:val="22"/>
        </w:rPr>
        <w:t> </w:t>
      </w:r>
      <w:r>
        <w:rPr>
          <w:sz w:val="22"/>
        </w:rPr>
        <w:t>public</w:t>
      </w:r>
      <w:r>
        <w:rPr>
          <w:spacing w:val="-2"/>
          <w:sz w:val="22"/>
        </w:rPr>
        <w:t> </w:t>
      </w:r>
      <w:r>
        <w:rPr>
          <w:sz w:val="22"/>
        </w:rPr>
        <w:t>housing sites to</w:t>
      </w:r>
      <w:r>
        <w:rPr>
          <w:spacing w:val="-2"/>
          <w:sz w:val="22"/>
        </w:rPr>
        <w:t> </w:t>
      </w:r>
      <w:r>
        <w:rPr>
          <w:sz w:val="22"/>
        </w:rPr>
        <w:t>ensure</w:t>
      </w:r>
      <w:r>
        <w:rPr>
          <w:spacing w:val="-3"/>
          <w:sz w:val="22"/>
        </w:rPr>
        <w:t> </w:t>
      </w:r>
      <w:r>
        <w:rPr>
          <w:sz w:val="22"/>
        </w:rPr>
        <w:t>that</w:t>
      </w:r>
      <w:r>
        <w:rPr>
          <w:spacing w:val="-1"/>
          <w:sz w:val="22"/>
        </w:rPr>
        <w:t> </w:t>
      </w:r>
      <w:r>
        <w:rPr>
          <w:sz w:val="22"/>
        </w:rPr>
        <w:t>the</w:t>
      </w:r>
      <w:r>
        <w:rPr>
          <w:spacing w:val="-1"/>
          <w:sz w:val="22"/>
        </w:rPr>
        <w:t> </w:t>
      </w:r>
      <w:r>
        <w:rPr>
          <w:sz w:val="22"/>
        </w:rPr>
        <w:t>net</w:t>
      </w:r>
      <w:r>
        <w:rPr>
          <w:spacing w:val="-3"/>
          <w:sz w:val="22"/>
        </w:rPr>
        <w:t> </w:t>
      </w:r>
      <w:r>
        <w:rPr>
          <w:sz w:val="22"/>
        </w:rPr>
        <w:t>availability</w:t>
      </w:r>
      <w:r>
        <w:rPr>
          <w:spacing w:val="-3"/>
          <w:sz w:val="22"/>
        </w:rPr>
        <w:t> </w:t>
      </w:r>
      <w:r>
        <w:rPr>
          <w:sz w:val="22"/>
        </w:rPr>
        <w:t>of</w:t>
      </w:r>
      <w:r>
        <w:rPr>
          <w:spacing w:val="-1"/>
          <w:sz w:val="22"/>
        </w:rPr>
        <w:t> </w:t>
      </w:r>
      <w:r>
        <w:rPr>
          <w:sz w:val="22"/>
        </w:rPr>
        <w:t>public</w:t>
      </w:r>
      <w:r>
        <w:rPr>
          <w:spacing w:val="-1"/>
          <w:sz w:val="22"/>
        </w:rPr>
        <w:t> </w:t>
      </w:r>
      <w:r>
        <w:rPr>
          <w:sz w:val="22"/>
        </w:rPr>
        <w:t>housing</w:t>
      </w:r>
      <w:r>
        <w:rPr>
          <w:spacing w:val="-2"/>
          <w:sz w:val="22"/>
        </w:rPr>
        <w:t> </w:t>
      </w:r>
      <w:r>
        <w:rPr>
          <w:sz w:val="22"/>
        </w:rPr>
        <w:t>in</w:t>
      </w:r>
      <w:r>
        <w:rPr>
          <w:spacing w:val="-1"/>
          <w:sz w:val="22"/>
        </w:rPr>
        <w:t> </w:t>
      </w:r>
      <w:r>
        <w:rPr>
          <w:sz w:val="22"/>
        </w:rPr>
        <w:t>Victoria</w:t>
      </w:r>
      <w:r>
        <w:rPr>
          <w:spacing w:val="-5"/>
          <w:sz w:val="22"/>
        </w:rPr>
        <w:t> </w:t>
      </w:r>
      <w:r>
        <w:rPr>
          <w:sz w:val="22"/>
        </w:rPr>
        <w:t>does</w:t>
      </w:r>
      <w:r>
        <w:rPr>
          <w:spacing w:val="-1"/>
          <w:sz w:val="22"/>
        </w:rPr>
        <w:t> </w:t>
      </w:r>
      <w:r>
        <w:rPr>
          <w:sz w:val="22"/>
        </w:rPr>
        <w:t>not</w:t>
      </w:r>
      <w:r>
        <w:rPr>
          <w:spacing w:val="-1"/>
          <w:sz w:val="22"/>
        </w:rPr>
        <w:t> </w:t>
      </w:r>
      <w:r>
        <w:rPr>
          <w:sz w:val="22"/>
        </w:rPr>
        <w:t>reduce,</w:t>
      </w:r>
      <w:r>
        <w:rPr>
          <w:spacing w:val="-1"/>
          <w:sz w:val="22"/>
        </w:rPr>
        <w:t> </w:t>
      </w:r>
      <w:r>
        <w:rPr>
          <w:sz w:val="22"/>
        </w:rPr>
        <w:t>noting</w:t>
      </w:r>
      <w:r>
        <w:rPr>
          <w:spacing w:val="-2"/>
          <w:sz w:val="22"/>
        </w:rPr>
        <w:t> </w:t>
      </w:r>
      <w:r>
        <w:rPr>
          <w:sz w:val="22"/>
        </w:rPr>
        <w:t>the importance of public housing to migrant and refugee women, and the whole community.</w:t>
      </w:r>
    </w:p>
    <w:p>
      <w:pPr>
        <w:pStyle w:val="BodyText"/>
        <w:ind w:left="0"/>
      </w:pPr>
    </w:p>
    <w:p>
      <w:pPr>
        <w:pStyle w:val="BodyText"/>
        <w:spacing w:before="11"/>
        <w:ind w:left="0"/>
      </w:pPr>
    </w:p>
    <w:p>
      <w:pPr>
        <w:pStyle w:val="Heading1"/>
      </w:pPr>
      <w:r>
        <w:rPr>
          <w:color w:val="333366"/>
          <w:spacing w:val="-2"/>
        </w:rPr>
        <w:t>References</w:t>
      </w:r>
    </w:p>
    <w:p>
      <w:pPr>
        <w:pStyle w:val="BodyText"/>
        <w:spacing w:before="120"/>
        <w:ind w:left="0"/>
        <w:rPr>
          <w:rFonts w:ascii="Segoe UI"/>
          <w:b/>
          <w:sz w:val="32"/>
        </w:rPr>
      </w:pPr>
    </w:p>
    <w:p>
      <w:pPr>
        <w:spacing w:line="276" w:lineRule="auto" w:before="0"/>
        <w:ind w:left="1440" w:right="1547" w:firstLine="0"/>
        <w:jc w:val="left"/>
        <w:rPr>
          <w:b/>
          <w:sz w:val="22"/>
        </w:rPr>
      </w:pPr>
      <w:r>
        <w:rPr>
          <w:w w:val="105"/>
          <w:sz w:val="22"/>
        </w:rPr>
        <w:t>A</w:t>
      </w:r>
      <w:r>
        <w:rPr>
          <w:spacing w:val="-1"/>
          <w:w w:val="105"/>
          <w:sz w:val="22"/>
        </w:rPr>
        <w:t> </w:t>
      </w:r>
      <w:r>
        <w:rPr>
          <w:w w:val="105"/>
          <w:sz w:val="22"/>
        </w:rPr>
        <w:t>letter</w:t>
      </w:r>
      <w:r>
        <w:rPr>
          <w:spacing w:val="-2"/>
          <w:w w:val="105"/>
          <w:sz w:val="22"/>
        </w:rPr>
        <w:t> </w:t>
      </w:r>
      <w:r>
        <w:rPr>
          <w:w w:val="105"/>
          <w:sz w:val="22"/>
        </w:rPr>
        <w:t>from</w:t>
      </w:r>
      <w:r>
        <w:rPr>
          <w:spacing w:val="-2"/>
          <w:w w:val="105"/>
          <w:sz w:val="22"/>
        </w:rPr>
        <w:t> </w:t>
      </w:r>
      <w:r>
        <w:rPr>
          <w:w w:val="105"/>
          <w:sz w:val="22"/>
        </w:rPr>
        <w:t>public</w:t>
      </w:r>
      <w:r>
        <w:rPr>
          <w:spacing w:val="-5"/>
          <w:w w:val="105"/>
          <w:sz w:val="22"/>
        </w:rPr>
        <w:t> </w:t>
      </w:r>
      <w:r>
        <w:rPr>
          <w:w w:val="105"/>
          <w:sz w:val="22"/>
        </w:rPr>
        <w:t>housing community leaders</w:t>
      </w:r>
      <w:r>
        <w:rPr>
          <w:spacing w:val="-2"/>
          <w:w w:val="105"/>
          <w:sz w:val="22"/>
        </w:rPr>
        <w:t> </w:t>
      </w:r>
      <w:r>
        <w:rPr>
          <w:w w:val="105"/>
          <w:sz w:val="22"/>
        </w:rPr>
        <w:t>to</w:t>
      </w:r>
      <w:r>
        <w:rPr>
          <w:spacing w:val="-6"/>
          <w:w w:val="105"/>
          <w:sz w:val="22"/>
        </w:rPr>
        <w:t> </w:t>
      </w:r>
      <w:r>
        <w:rPr>
          <w:w w:val="105"/>
          <w:sz w:val="22"/>
        </w:rPr>
        <w:t>Homes Victoria</w:t>
      </w:r>
      <w:r>
        <w:rPr>
          <w:spacing w:val="-1"/>
          <w:w w:val="105"/>
          <w:sz w:val="22"/>
        </w:rPr>
        <w:t> </w:t>
      </w:r>
      <w:r>
        <w:rPr>
          <w:w w:val="105"/>
          <w:sz w:val="22"/>
        </w:rPr>
        <w:t>and Housing</w:t>
      </w:r>
      <w:r>
        <w:rPr>
          <w:spacing w:val="-2"/>
          <w:w w:val="105"/>
          <w:sz w:val="22"/>
        </w:rPr>
        <w:t> </w:t>
      </w:r>
      <w:r>
        <w:rPr>
          <w:w w:val="105"/>
          <w:sz w:val="22"/>
        </w:rPr>
        <w:t>Minister Shing. (2024, August 14). </w:t>
      </w:r>
      <w:r>
        <w:rPr>
          <w:i/>
          <w:w w:val="105"/>
          <w:sz w:val="22"/>
        </w:rPr>
        <w:t>Flemington Kensington News</w:t>
      </w:r>
      <w:r>
        <w:rPr>
          <w:w w:val="105"/>
          <w:sz w:val="22"/>
        </w:rPr>
        <w:t>. </w:t>
      </w:r>
      <w:hyperlink r:id="rId8">
        <w:r>
          <w:rPr>
            <w:b/>
            <w:color w:val="333366"/>
            <w:w w:val="105"/>
            <w:sz w:val="22"/>
            <w:u w:val="single" w:color="333366"/>
          </w:rPr>
          <w:t>https://www.flemken.news/letter-homes-</w:t>
        </w:r>
      </w:hyperlink>
      <w:r>
        <w:rPr>
          <w:b/>
          <w:color w:val="333366"/>
          <w:w w:val="105"/>
          <w:sz w:val="22"/>
          <w:u w:val="none"/>
        </w:rPr>
        <w:t> </w:t>
      </w:r>
      <w:hyperlink r:id="rId8">
        <w:r>
          <w:rPr>
            <w:b/>
            <w:color w:val="333366"/>
            <w:spacing w:val="-2"/>
            <w:w w:val="105"/>
            <w:sz w:val="22"/>
            <w:u w:val="single" w:color="333366"/>
          </w:rPr>
          <w:t>victoria</w:t>
        </w:r>
      </w:hyperlink>
    </w:p>
    <w:p>
      <w:pPr>
        <w:spacing w:line="276" w:lineRule="auto" w:before="120"/>
        <w:ind w:left="1440" w:right="1456" w:firstLine="0"/>
        <w:jc w:val="left"/>
        <w:rPr>
          <w:b/>
          <w:sz w:val="22"/>
        </w:rPr>
      </w:pPr>
      <w:r>
        <w:rPr>
          <w:w w:val="105"/>
          <w:sz w:val="22"/>
        </w:rPr>
        <w:t>AHURI.</w:t>
      </w:r>
      <w:r>
        <w:rPr>
          <w:spacing w:val="-5"/>
          <w:w w:val="105"/>
          <w:sz w:val="22"/>
        </w:rPr>
        <w:t> </w:t>
      </w:r>
      <w:r>
        <w:rPr>
          <w:w w:val="105"/>
          <w:sz w:val="22"/>
        </w:rPr>
        <w:t>(2023).</w:t>
      </w:r>
      <w:r>
        <w:rPr>
          <w:spacing w:val="-2"/>
          <w:w w:val="105"/>
          <w:sz w:val="22"/>
        </w:rPr>
        <w:t> </w:t>
      </w:r>
      <w:r>
        <w:rPr>
          <w:i/>
          <w:w w:val="105"/>
          <w:sz w:val="22"/>
        </w:rPr>
        <w:t>What</w:t>
      </w:r>
      <w:r>
        <w:rPr>
          <w:i/>
          <w:spacing w:val="-4"/>
          <w:w w:val="105"/>
          <w:sz w:val="22"/>
        </w:rPr>
        <w:t> </w:t>
      </w:r>
      <w:r>
        <w:rPr>
          <w:i/>
          <w:w w:val="105"/>
          <w:sz w:val="22"/>
        </w:rPr>
        <w:t>are</w:t>
      </w:r>
      <w:r>
        <w:rPr>
          <w:i/>
          <w:spacing w:val="-1"/>
          <w:w w:val="105"/>
          <w:sz w:val="22"/>
        </w:rPr>
        <w:t> </w:t>
      </w:r>
      <w:r>
        <w:rPr>
          <w:i/>
          <w:w w:val="105"/>
          <w:sz w:val="22"/>
        </w:rPr>
        <w:t>the</w:t>
      </w:r>
      <w:r>
        <w:rPr>
          <w:i/>
          <w:spacing w:val="-4"/>
          <w:w w:val="105"/>
          <w:sz w:val="22"/>
        </w:rPr>
        <w:t> </w:t>
      </w:r>
      <w:r>
        <w:rPr>
          <w:i/>
          <w:w w:val="105"/>
          <w:sz w:val="22"/>
        </w:rPr>
        <w:t>real</w:t>
      </w:r>
      <w:r>
        <w:rPr>
          <w:i/>
          <w:spacing w:val="-2"/>
          <w:w w:val="105"/>
          <w:sz w:val="22"/>
        </w:rPr>
        <w:t> </w:t>
      </w:r>
      <w:r>
        <w:rPr>
          <w:i/>
          <w:w w:val="105"/>
          <w:sz w:val="22"/>
        </w:rPr>
        <w:t>costs</w:t>
      </w:r>
      <w:r>
        <w:rPr>
          <w:i/>
          <w:spacing w:val="-3"/>
          <w:w w:val="105"/>
          <w:sz w:val="22"/>
        </w:rPr>
        <w:t> </w:t>
      </w:r>
      <w:r>
        <w:rPr>
          <w:i/>
          <w:w w:val="105"/>
          <w:sz w:val="22"/>
        </w:rPr>
        <w:t>of</w:t>
      </w:r>
      <w:r>
        <w:rPr>
          <w:i/>
          <w:spacing w:val="-2"/>
          <w:w w:val="105"/>
          <w:sz w:val="22"/>
        </w:rPr>
        <w:t> </w:t>
      </w:r>
      <w:r>
        <w:rPr>
          <w:i/>
          <w:w w:val="105"/>
          <w:sz w:val="22"/>
        </w:rPr>
        <w:t>Australia’s</w:t>
      </w:r>
      <w:r>
        <w:rPr>
          <w:i/>
          <w:spacing w:val="-1"/>
          <w:w w:val="105"/>
          <w:sz w:val="22"/>
        </w:rPr>
        <w:t> </w:t>
      </w:r>
      <w:r>
        <w:rPr>
          <w:i/>
          <w:w w:val="105"/>
          <w:sz w:val="22"/>
        </w:rPr>
        <w:t>housing</w:t>
      </w:r>
      <w:r>
        <w:rPr>
          <w:i/>
          <w:spacing w:val="-1"/>
          <w:w w:val="105"/>
          <w:sz w:val="22"/>
        </w:rPr>
        <w:t> </w:t>
      </w:r>
      <w:r>
        <w:rPr>
          <w:i/>
          <w:w w:val="105"/>
          <w:sz w:val="22"/>
        </w:rPr>
        <w:t>crisis</w:t>
      </w:r>
      <w:r>
        <w:rPr>
          <w:i/>
          <w:spacing w:val="-4"/>
          <w:w w:val="105"/>
          <w:sz w:val="22"/>
        </w:rPr>
        <w:t> </w:t>
      </w:r>
      <w:r>
        <w:rPr>
          <w:i/>
          <w:w w:val="105"/>
          <w:sz w:val="22"/>
        </w:rPr>
        <w:t>for</w:t>
      </w:r>
      <w:r>
        <w:rPr>
          <w:i/>
          <w:spacing w:val="-3"/>
          <w:w w:val="105"/>
          <w:sz w:val="22"/>
        </w:rPr>
        <w:t> </w:t>
      </w:r>
      <w:r>
        <w:rPr>
          <w:i/>
          <w:w w:val="105"/>
          <w:sz w:val="22"/>
        </w:rPr>
        <w:t>women? </w:t>
      </w:r>
      <w:r>
        <w:rPr>
          <w:w w:val="105"/>
          <w:sz w:val="22"/>
        </w:rPr>
        <w:t>Retrieved</w:t>
      </w:r>
      <w:r>
        <w:rPr>
          <w:spacing w:val="-3"/>
          <w:w w:val="105"/>
          <w:sz w:val="22"/>
        </w:rPr>
        <w:t> </w:t>
      </w:r>
      <w:r>
        <w:rPr>
          <w:w w:val="105"/>
          <w:sz w:val="22"/>
        </w:rPr>
        <w:t>March 27, 2025, from </w:t>
      </w:r>
      <w:hyperlink r:id="rId9">
        <w:r>
          <w:rPr>
            <w:b/>
            <w:color w:val="333366"/>
            <w:w w:val="105"/>
            <w:sz w:val="22"/>
            <w:u w:val="single" w:color="333366"/>
          </w:rPr>
          <w:t>https://www.ahuri.edu.au/analysis/brief/what-are-real-costs-australias-</w:t>
        </w:r>
      </w:hyperlink>
      <w:r>
        <w:rPr>
          <w:b/>
          <w:color w:val="333366"/>
          <w:spacing w:val="40"/>
          <w:w w:val="105"/>
          <w:sz w:val="22"/>
          <w:u w:val="none"/>
        </w:rPr>
        <w:t> </w:t>
      </w:r>
      <w:hyperlink r:id="rId9">
        <w:r>
          <w:rPr>
            <w:b/>
            <w:color w:val="333366"/>
            <w:spacing w:val="-2"/>
            <w:w w:val="105"/>
            <w:sz w:val="22"/>
            <w:u w:val="single" w:color="333366"/>
          </w:rPr>
          <w:t>housing-crisis-women</w:t>
        </w:r>
      </w:hyperlink>
    </w:p>
    <w:p>
      <w:pPr>
        <w:spacing w:line="276" w:lineRule="auto" w:before="120"/>
        <w:ind w:left="1440" w:right="1547" w:firstLine="0"/>
        <w:jc w:val="left"/>
        <w:rPr>
          <w:b/>
          <w:sz w:val="22"/>
        </w:rPr>
      </w:pPr>
      <w:r>
        <w:rPr>
          <w:i/>
          <w:sz w:val="22"/>
        </w:rPr>
        <w:t>Barry</w:t>
      </w:r>
      <w:r>
        <w:rPr>
          <w:i/>
          <w:spacing w:val="31"/>
          <w:sz w:val="22"/>
        </w:rPr>
        <w:t> </w:t>
      </w:r>
      <w:r>
        <w:rPr>
          <w:i/>
          <w:sz w:val="22"/>
        </w:rPr>
        <w:t>Berih</w:t>
      </w:r>
      <w:r>
        <w:rPr>
          <w:i/>
          <w:spacing w:val="25"/>
          <w:sz w:val="22"/>
        </w:rPr>
        <w:t> </w:t>
      </w:r>
      <w:r>
        <w:rPr>
          <w:i/>
          <w:sz w:val="22"/>
        </w:rPr>
        <w:t>v</w:t>
      </w:r>
      <w:r>
        <w:rPr>
          <w:i/>
          <w:spacing w:val="27"/>
          <w:sz w:val="22"/>
        </w:rPr>
        <w:t> </w:t>
      </w:r>
      <w:r>
        <w:rPr>
          <w:i/>
          <w:sz w:val="22"/>
        </w:rPr>
        <w:t>Homes</w:t>
      </w:r>
      <w:r>
        <w:rPr>
          <w:i/>
          <w:spacing w:val="27"/>
          <w:sz w:val="22"/>
        </w:rPr>
        <w:t> </w:t>
      </w:r>
      <w:r>
        <w:rPr>
          <w:i/>
          <w:sz w:val="22"/>
        </w:rPr>
        <w:t>Victoria,</w:t>
      </w:r>
      <w:r>
        <w:rPr>
          <w:i/>
          <w:spacing w:val="32"/>
          <w:sz w:val="22"/>
        </w:rPr>
        <w:t> </w:t>
      </w:r>
      <w:r>
        <w:rPr>
          <w:sz w:val="22"/>
        </w:rPr>
        <w:t>No.</w:t>
      </w:r>
      <w:r>
        <w:rPr>
          <w:spacing w:val="29"/>
          <w:sz w:val="22"/>
        </w:rPr>
        <w:t> </w:t>
      </w:r>
      <w:r>
        <w:rPr>
          <w:sz w:val="22"/>
        </w:rPr>
        <w:t>S</w:t>
      </w:r>
      <w:r>
        <w:rPr>
          <w:spacing w:val="25"/>
          <w:sz w:val="22"/>
        </w:rPr>
        <w:t> </w:t>
      </w:r>
      <w:r>
        <w:rPr>
          <w:sz w:val="22"/>
        </w:rPr>
        <w:t>ECI</w:t>
      </w:r>
      <w:r>
        <w:rPr>
          <w:spacing w:val="25"/>
          <w:sz w:val="22"/>
        </w:rPr>
        <w:t> </w:t>
      </w:r>
      <w:r>
        <w:rPr>
          <w:sz w:val="22"/>
        </w:rPr>
        <w:t>2024</w:t>
      </w:r>
      <w:r>
        <w:rPr>
          <w:spacing w:val="29"/>
          <w:sz w:val="22"/>
        </w:rPr>
        <w:t> </w:t>
      </w:r>
      <w:r>
        <w:rPr>
          <w:sz w:val="22"/>
        </w:rPr>
        <w:t>00280</w:t>
      </w:r>
      <w:r>
        <w:rPr>
          <w:spacing w:val="20"/>
          <w:sz w:val="22"/>
        </w:rPr>
        <w:t> </w:t>
      </w:r>
      <w:r>
        <w:rPr>
          <w:sz w:val="22"/>
        </w:rPr>
        <w:t>(Supreme</w:t>
      </w:r>
      <w:r>
        <w:rPr>
          <w:spacing w:val="27"/>
          <w:sz w:val="22"/>
        </w:rPr>
        <w:t> </w:t>
      </w:r>
      <w:r>
        <w:rPr>
          <w:sz w:val="22"/>
        </w:rPr>
        <w:t>Court</w:t>
      </w:r>
      <w:r>
        <w:rPr>
          <w:spacing w:val="27"/>
          <w:sz w:val="22"/>
        </w:rPr>
        <w:t> </w:t>
      </w:r>
      <w:r>
        <w:rPr>
          <w:sz w:val="22"/>
        </w:rPr>
        <w:t>of</w:t>
      </w:r>
      <w:r>
        <w:rPr>
          <w:spacing w:val="27"/>
          <w:sz w:val="22"/>
        </w:rPr>
        <w:t> </w:t>
      </w:r>
      <w:r>
        <w:rPr>
          <w:sz w:val="22"/>
        </w:rPr>
        <w:t>Victoria</w:t>
      </w:r>
      <w:r>
        <w:rPr>
          <w:spacing w:val="29"/>
          <w:sz w:val="22"/>
        </w:rPr>
        <w:t> </w:t>
      </w:r>
      <w:r>
        <w:rPr>
          <w:sz w:val="22"/>
        </w:rPr>
        <w:t>February</w:t>
      </w:r>
      <w:r>
        <w:rPr>
          <w:spacing w:val="29"/>
          <w:sz w:val="22"/>
        </w:rPr>
        <w:t> </w:t>
      </w:r>
      <w:r>
        <w:rPr>
          <w:sz w:val="22"/>
        </w:rPr>
        <w:t>10, </w:t>
      </w:r>
      <w:r>
        <w:rPr>
          <w:w w:val="110"/>
          <w:sz w:val="22"/>
        </w:rPr>
        <w:t>2025).</w:t>
      </w:r>
      <w:r>
        <w:rPr>
          <w:spacing w:val="-14"/>
          <w:w w:val="110"/>
          <w:sz w:val="22"/>
        </w:rPr>
        <w:t> </w:t>
      </w:r>
      <w:hyperlink r:id="rId10">
        <w:r>
          <w:rPr>
            <w:b/>
            <w:color w:val="333366"/>
            <w:w w:val="110"/>
            <w:sz w:val="22"/>
            <w:u w:val="single" w:color="333366"/>
          </w:rPr>
          <w:t>https://www.supremecourt.vic.gov.au/sites/default/files/2025-</w:t>
        </w:r>
      </w:hyperlink>
      <w:r>
        <w:rPr>
          <w:b/>
          <w:color w:val="333366"/>
          <w:w w:val="110"/>
          <w:sz w:val="22"/>
          <w:u w:val="none"/>
        </w:rPr>
        <w:t> </w:t>
      </w:r>
      <w:hyperlink r:id="rId10">
        <w:r>
          <w:rPr>
            <w:b/>
            <w:color w:val="333366"/>
            <w:spacing w:val="-2"/>
            <w:w w:val="110"/>
            <w:sz w:val="22"/>
            <w:u w:val="single" w:color="333366"/>
          </w:rPr>
          <w:t>02/Ruling%20of%20Keogh%20J%20%2810%20February%202025%29_1.pdf</w:t>
        </w:r>
      </w:hyperlink>
    </w:p>
    <w:p>
      <w:pPr>
        <w:spacing w:line="276" w:lineRule="auto" w:before="120"/>
        <w:ind w:left="1440" w:right="1555" w:firstLine="0"/>
        <w:jc w:val="left"/>
        <w:rPr>
          <w:sz w:val="22"/>
        </w:rPr>
      </w:pPr>
      <w:r>
        <w:rPr>
          <w:sz w:val="22"/>
        </w:rPr>
        <w:t>Brackertz,</w:t>
      </w:r>
      <w:r>
        <w:rPr>
          <w:spacing w:val="35"/>
          <w:sz w:val="22"/>
        </w:rPr>
        <w:t> </w:t>
      </w:r>
      <w:r>
        <w:rPr>
          <w:sz w:val="22"/>
        </w:rPr>
        <w:t>Nicola,</w:t>
      </w:r>
      <w:r>
        <w:rPr>
          <w:spacing w:val="35"/>
          <w:sz w:val="22"/>
        </w:rPr>
        <w:t> </w:t>
      </w:r>
      <w:r>
        <w:rPr>
          <w:sz w:val="22"/>
        </w:rPr>
        <w:t>Jim</w:t>
      </w:r>
      <w:r>
        <w:rPr>
          <w:spacing w:val="37"/>
          <w:sz w:val="22"/>
        </w:rPr>
        <w:t> </w:t>
      </w:r>
      <w:r>
        <w:rPr>
          <w:sz w:val="22"/>
        </w:rPr>
        <w:t>Davison,</w:t>
      </w:r>
      <w:r>
        <w:rPr>
          <w:spacing w:val="35"/>
          <w:sz w:val="22"/>
        </w:rPr>
        <w:t> </w:t>
      </w:r>
      <w:r>
        <w:rPr>
          <w:sz w:val="22"/>
        </w:rPr>
        <w:t>Luc</w:t>
      </w:r>
      <w:r>
        <w:rPr>
          <w:spacing w:val="29"/>
          <w:sz w:val="22"/>
        </w:rPr>
        <w:t> </w:t>
      </w:r>
      <w:r>
        <w:rPr>
          <w:sz w:val="22"/>
        </w:rPr>
        <w:t>Borrowman,</w:t>
      </w:r>
      <w:r>
        <w:rPr>
          <w:spacing w:val="29"/>
          <w:sz w:val="22"/>
        </w:rPr>
        <w:t> </w:t>
      </w:r>
      <w:r>
        <w:rPr>
          <w:sz w:val="22"/>
        </w:rPr>
        <w:t>and</w:t>
      </w:r>
      <w:r>
        <w:rPr>
          <w:spacing w:val="33"/>
          <w:sz w:val="22"/>
        </w:rPr>
        <w:t> </w:t>
      </w:r>
      <w:r>
        <w:rPr>
          <w:sz w:val="22"/>
        </w:rPr>
        <w:t>Christian</w:t>
      </w:r>
      <w:r>
        <w:rPr>
          <w:spacing w:val="33"/>
          <w:sz w:val="22"/>
        </w:rPr>
        <w:t> </w:t>
      </w:r>
      <w:r>
        <w:rPr>
          <w:sz w:val="22"/>
        </w:rPr>
        <w:t>Roggenbuck.</w:t>
      </w:r>
      <w:r>
        <w:rPr>
          <w:spacing w:val="37"/>
          <w:sz w:val="22"/>
        </w:rPr>
        <w:t> </w:t>
      </w:r>
      <w:r>
        <w:rPr>
          <w:i/>
          <w:sz w:val="22"/>
        </w:rPr>
        <w:t>Overcrowding</w:t>
      </w:r>
      <w:r>
        <w:rPr>
          <w:i/>
          <w:spacing w:val="33"/>
          <w:sz w:val="22"/>
        </w:rPr>
        <w:t> </w:t>
      </w:r>
      <w:r>
        <w:rPr>
          <w:i/>
          <w:sz w:val="22"/>
        </w:rPr>
        <w:t>and</w:t>
      </w:r>
      <w:r>
        <w:rPr>
          <w:i/>
          <w:sz w:val="22"/>
        </w:rPr>
        <w:t> </w:t>
      </w:r>
      <w:r>
        <w:rPr>
          <w:i/>
          <w:spacing w:val="-2"/>
          <w:w w:val="110"/>
          <w:sz w:val="22"/>
        </w:rPr>
        <w:t>Severe</w:t>
      </w:r>
      <w:r>
        <w:rPr>
          <w:i/>
          <w:spacing w:val="-4"/>
          <w:w w:val="110"/>
          <w:sz w:val="22"/>
        </w:rPr>
        <w:t> </w:t>
      </w:r>
      <w:r>
        <w:rPr>
          <w:i/>
          <w:spacing w:val="-2"/>
          <w:w w:val="110"/>
          <w:sz w:val="22"/>
        </w:rPr>
        <w:t>Overcrowding:</w:t>
      </w:r>
      <w:r>
        <w:rPr>
          <w:i/>
          <w:spacing w:val="-3"/>
          <w:w w:val="110"/>
          <w:sz w:val="22"/>
        </w:rPr>
        <w:t> </w:t>
      </w:r>
      <w:r>
        <w:rPr>
          <w:i/>
          <w:spacing w:val="-2"/>
          <w:w w:val="110"/>
          <w:sz w:val="22"/>
        </w:rPr>
        <w:t>An</w:t>
      </w:r>
      <w:r>
        <w:rPr>
          <w:i/>
          <w:spacing w:val="-7"/>
          <w:w w:val="110"/>
          <w:sz w:val="22"/>
        </w:rPr>
        <w:t> </w:t>
      </w:r>
      <w:r>
        <w:rPr>
          <w:i/>
          <w:spacing w:val="-2"/>
          <w:w w:val="110"/>
          <w:sz w:val="22"/>
        </w:rPr>
        <w:t>Analysis</w:t>
      </w:r>
      <w:r>
        <w:rPr>
          <w:i/>
          <w:spacing w:val="-4"/>
          <w:w w:val="110"/>
          <w:sz w:val="22"/>
        </w:rPr>
        <w:t> </w:t>
      </w:r>
      <w:r>
        <w:rPr>
          <w:i/>
          <w:spacing w:val="-2"/>
          <w:w w:val="110"/>
          <w:sz w:val="22"/>
        </w:rPr>
        <w:t>of Literature,</w:t>
      </w:r>
      <w:r>
        <w:rPr>
          <w:i/>
          <w:spacing w:val="-3"/>
          <w:w w:val="110"/>
          <w:sz w:val="22"/>
        </w:rPr>
        <w:t> </w:t>
      </w:r>
      <w:r>
        <w:rPr>
          <w:i/>
          <w:spacing w:val="-2"/>
          <w:w w:val="110"/>
          <w:sz w:val="22"/>
        </w:rPr>
        <w:t>Data, Policies</w:t>
      </w:r>
      <w:r>
        <w:rPr>
          <w:i/>
          <w:spacing w:val="-3"/>
          <w:w w:val="110"/>
          <w:sz w:val="22"/>
        </w:rPr>
        <w:t> </w:t>
      </w:r>
      <w:r>
        <w:rPr>
          <w:i/>
          <w:spacing w:val="-2"/>
          <w:w w:val="110"/>
          <w:sz w:val="22"/>
        </w:rPr>
        <w:t>and Programs</w:t>
      </w:r>
      <w:r>
        <w:rPr>
          <w:spacing w:val="-2"/>
          <w:w w:val="110"/>
          <w:sz w:val="22"/>
        </w:rPr>
        <w:t>.</w:t>
      </w:r>
      <w:r>
        <w:rPr>
          <w:spacing w:val="-8"/>
          <w:w w:val="110"/>
          <w:sz w:val="22"/>
        </w:rPr>
        <w:t> </w:t>
      </w:r>
      <w:r>
        <w:rPr>
          <w:spacing w:val="-2"/>
          <w:w w:val="110"/>
          <w:sz w:val="22"/>
        </w:rPr>
        <w:t>AHURI </w:t>
      </w:r>
      <w:r>
        <w:rPr>
          <w:w w:val="110"/>
          <w:sz w:val="22"/>
        </w:rPr>
        <w:t>Professional Services, 2019. </w:t>
      </w:r>
      <w:hyperlink r:id="rId11">
        <w:r>
          <w:rPr>
            <w:b/>
            <w:color w:val="333366"/>
            <w:spacing w:val="-2"/>
            <w:w w:val="110"/>
            <w:sz w:val="22"/>
            <w:u w:val="single" w:color="333366"/>
          </w:rPr>
          <w:t>https://www.ahuri.edu.au/sites/default/files/migration/documents/overcrowding-and-</w:t>
        </w:r>
      </w:hyperlink>
      <w:r>
        <w:rPr>
          <w:b/>
          <w:color w:val="333366"/>
          <w:spacing w:val="-2"/>
          <w:w w:val="110"/>
          <w:sz w:val="22"/>
          <w:u w:val="none"/>
        </w:rPr>
        <w:t> </w:t>
      </w:r>
      <w:hyperlink r:id="rId11">
        <w:r>
          <w:rPr>
            <w:b/>
            <w:color w:val="333366"/>
            <w:spacing w:val="-2"/>
            <w:w w:val="110"/>
            <w:sz w:val="22"/>
            <w:u w:val="single" w:color="333366"/>
          </w:rPr>
          <w:t>severe-overcrowding-report.pdf</w:t>
        </w:r>
      </w:hyperlink>
      <w:r>
        <w:rPr>
          <w:spacing w:val="-2"/>
          <w:w w:val="110"/>
          <w:sz w:val="22"/>
          <w:u w:val="none"/>
        </w:rPr>
        <w:t>.</w:t>
      </w:r>
    </w:p>
    <w:p>
      <w:pPr>
        <w:spacing w:line="276" w:lineRule="auto" w:before="122"/>
        <w:ind w:left="1440" w:right="1523" w:firstLine="0"/>
        <w:jc w:val="left"/>
        <w:rPr>
          <w:b/>
          <w:sz w:val="22"/>
        </w:rPr>
      </w:pPr>
      <w:r>
        <w:rPr>
          <w:spacing w:val="-2"/>
          <w:w w:val="110"/>
          <w:sz w:val="22"/>
        </w:rPr>
        <w:t>Button,</w:t>
      </w:r>
      <w:r>
        <w:rPr>
          <w:spacing w:val="-7"/>
          <w:w w:val="110"/>
          <w:sz w:val="22"/>
        </w:rPr>
        <w:t> </w:t>
      </w:r>
      <w:r>
        <w:rPr>
          <w:spacing w:val="-2"/>
          <w:w w:val="110"/>
          <w:sz w:val="22"/>
        </w:rPr>
        <w:t>J.,</w:t>
      </w:r>
      <w:r>
        <w:rPr>
          <w:spacing w:val="-7"/>
          <w:w w:val="110"/>
          <w:sz w:val="22"/>
        </w:rPr>
        <w:t> </w:t>
      </w:r>
      <w:r>
        <w:rPr>
          <w:spacing w:val="-2"/>
          <w:w w:val="110"/>
          <w:sz w:val="22"/>
        </w:rPr>
        <w:t>&amp;</w:t>
      </w:r>
      <w:r>
        <w:rPr>
          <w:spacing w:val="-7"/>
          <w:w w:val="110"/>
          <w:sz w:val="22"/>
        </w:rPr>
        <w:t> </w:t>
      </w:r>
      <w:r>
        <w:rPr>
          <w:spacing w:val="-2"/>
          <w:w w:val="110"/>
          <w:sz w:val="22"/>
        </w:rPr>
        <w:t>Szego,</w:t>
      </w:r>
      <w:r>
        <w:rPr>
          <w:spacing w:val="-7"/>
          <w:w w:val="110"/>
          <w:sz w:val="22"/>
        </w:rPr>
        <w:t> </w:t>
      </w:r>
      <w:r>
        <w:rPr>
          <w:spacing w:val="-2"/>
          <w:w w:val="110"/>
          <w:sz w:val="22"/>
        </w:rPr>
        <w:t>J.</w:t>
      </w:r>
      <w:r>
        <w:rPr>
          <w:spacing w:val="-8"/>
          <w:w w:val="110"/>
          <w:sz w:val="22"/>
        </w:rPr>
        <w:t> </w:t>
      </w:r>
      <w:r>
        <w:rPr>
          <w:spacing w:val="-2"/>
          <w:w w:val="110"/>
          <w:sz w:val="22"/>
        </w:rPr>
        <w:t>(2020).</w:t>
      </w:r>
      <w:r>
        <w:rPr>
          <w:spacing w:val="-6"/>
          <w:w w:val="110"/>
          <w:sz w:val="22"/>
        </w:rPr>
        <w:t> </w:t>
      </w:r>
      <w:r>
        <w:rPr>
          <w:i/>
          <w:spacing w:val="-2"/>
          <w:w w:val="110"/>
          <w:sz w:val="22"/>
        </w:rPr>
        <w:t>Lives</w:t>
      </w:r>
      <w:r>
        <w:rPr>
          <w:i/>
          <w:spacing w:val="-6"/>
          <w:w w:val="110"/>
          <w:sz w:val="22"/>
        </w:rPr>
        <w:t> </w:t>
      </w:r>
      <w:r>
        <w:rPr>
          <w:i/>
          <w:spacing w:val="-2"/>
          <w:w w:val="110"/>
          <w:sz w:val="22"/>
        </w:rPr>
        <w:t>in</w:t>
      </w:r>
      <w:r>
        <w:rPr>
          <w:i/>
          <w:spacing w:val="-6"/>
          <w:w w:val="110"/>
          <w:sz w:val="22"/>
        </w:rPr>
        <w:t> </w:t>
      </w:r>
      <w:r>
        <w:rPr>
          <w:i/>
          <w:spacing w:val="-2"/>
          <w:w w:val="110"/>
          <w:sz w:val="22"/>
        </w:rPr>
        <w:t>the</w:t>
      </w:r>
      <w:r>
        <w:rPr>
          <w:i/>
          <w:spacing w:val="-9"/>
          <w:w w:val="110"/>
          <w:sz w:val="22"/>
        </w:rPr>
        <w:t> </w:t>
      </w:r>
      <w:r>
        <w:rPr>
          <w:i/>
          <w:spacing w:val="-2"/>
          <w:w w:val="110"/>
          <w:sz w:val="22"/>
        </w:rPr>
        <w:t>sky:</w:t>
      </w:r>
      <w:r>
        <w:rPr>
          <w:i/>
          <w:spacing w:val="-8"/>
          <w:w w:val="110"/>
          <w:sz w:val="22"/>
        </w:rPr>
        <w:t> </w:t>
      </w:r>
      <w:r>
        <w:rPr>
          <w:i/>
          <w:spacing w:val="-2"/>
          <w:w w:val="110"/>
          <w:sz w:val="22"/>
        </w:rPr>
        <w:t>A</w:t>
      </w:r>
      <w:r>
        <w:rPr>
          <w:i/>
          <w:spacing w:val="-7"/>
          <w:w w:val="110"/>
          <w:sz w:val="22"/>
        </w:rPr>
        <w:t> </w:t>
      </w:r>
      <w:r>
        <w:rPr>
          <w:i/>
          <w:spacing w:val="-2"/>
          <w:w w:val="110"/>
          <w:sz w:val="22"/>
        </w:rPr>
        <w:t>look</w:t>
      </w:r>
      <w:r>
        <w:rPr>
          <w:i/>
          <w:spacing w:val="-11"/>
          <w:w w:val="110"/>
          <w:sz w:val="22"/>
        </w:rPr>
        <w:t> </w:t>
      </w:r>
      <w:r>
        <w:rPr>
          <w:i/>
          <w:spacing w:val="-2"/>
          <w:w w:val="110"/>
          <w:sz w:val="22"/>
        </w:rPr>
        <w:t>at</w:t>
      </w:r>
      <w:r>
        <w:rPr>
          <w:i/>
          <w:spacing w:val="-6"/>
          <w:w w:val="110"/>
          <w:sz w:val="22"/>
        </w:rPr>
        <w:t> </w:t>
      </w:r>
      <w:r>
        <w:rPr>
          <w:i/>
          <w:spacing w:val="-2"/>
          <w:w w:val="110"/>
          <w:sz w:val="22"/>
        </w:rPr>
        <w:t>African-Australian</w:t>
      </w:r>
      <w:r>
        <w:rPr>
          <w:i/>
          <w:spacing w:val="-9"/>
          <w:w w:val="110"/>
          <w:sz w:val="22"/>
        </w:rPr>
        <w:t> </w:t>
      </w:r>
      <w:r>
        <w:rPr>
          <w:i/>
          <w:spacing w:val="-2"/>
          <w:w w:val="110"/>
          <w:sz w:val="22"/>
        </w:rPr>
        <w:t>communities</w:t>
      </w:r>
      <w:r>
        <w:rPr>
          <w:i/>
          <w:spacing w:val="-8"/>
          <w:w w:val="110"/>
          <w:sz w:val="22"/>
        </w:rPr>
        <w:t> </w:t>
      </w:r>
      <w:r>
        <w:rPr>
          <w:i/>
          <w:spacing w:val="-2"/>
          <w:w w:val="110"/>
          <w:sz w:val="22"/>
        </w:rPr>
        <w:t>inside</w:t>
      </w:r>
      <w:r>
        <w:rPr>
          <w:i/>
          <w:spacing w:val="-2"/>
          <w:w w:val="110"/>
          <w:sz w:val="22"/>
        </w:rPr>
        <w:t> </w:t>
      </w:r>
      <w:r>
        <w:rPr>
          <w:i/>
          <w:sz w:val="22"/>
        </w:rPr>
        <w:t>Melbourne’s</w:t>
      </w:r>
      <w:r>
        <w:rPr>
          <w:i/>
          <w:spacing w:val="33"/>
          <w:sz w:val="22"/>
        </w:rPr>
        <w:t> </w:t>
      </w:r>
      <w:r>
        <w:rPr>
          <w:i/>
          <w:sz w:val="22"/>
        </w:rPr>
        <w:t>high-rise</w:t>
      </w:r>
      <w:r>
        <w:rPr>
          <w:i/>
          <w:spacing w:val="33"/>
          <w:sz w:val="22"/>
        </w:rPr>
        <w:t> </w:t>
      </w:r>
      <w:r>
        <w:rPr>
          <w:i/>
          <w:sz w:val="22"/>
        </w:rPr>
        <w:t>public</w:t>
      </w:r>
      <w:r>
        <w:rPr>
          <w:i/>
          <w:spacing w:val="31"/>
          <w:sz w:val="22"/>
        </w:rPr>
        <w:t> </w:t>
      </w:r>
      <w:r>
        <w:rPr>
          <w:i/>
          <w:sz w:val="22"/>
        </w:rPr>
        <w:t>housing</w:t>
      </w:r>
      <w:r>
        <w:rPr>
          <w:i/>
          <w:spacing w:val="37"/>
          <w:sz w:val="22"/>
        </w:rPr>
        <w:t> </w:t>
      </w:r>
      <w:r>
        <w:rPr>
          <w:sz w:val="22"/>
        </w:rPr>
        <w:t>(Narrative</w:t>
      </w:r>
      <w:r>
        <w:rPr>
          <w:spacing w:val="33"/>
          <w:sz w:val="22"/>
        </w:rPr>
        <w:t> </w:t>
      </w:r>
      <w:r>
        <w:rPr>
          <w:sz w:val="22"/>
        </w:rPr>
        <w:t>No.</w:t>
      </w:r>
      <w:r>
        <w:rPr>
          <w:spacing w:val="35"/>
          <w:sz w:val="22"/>
        </w:rPr>
        <w:t> </w:t>
      </w:r>
      <w:r>
        <w:rPr>
          <w:sz w:val="22"/>
        </w:rPr>
        <w:t>5).</w:t>
      </w:r>
      <w:r>
        <w:rPr>
          <w:spacing w:val="33"/>
          <w:sz w:val="22"/>
        </w:rPr>
        <w:t> </w:t>
      </w:r>
      <w:r>
        <w:rPr>
          <w:sz w:val="22"/>
        </w:rPr>
        <w:t>Scanlon</w:t>
      </w:r>
      <w:r>
        <w:rPr>
          <w:spacing w:val="33"/>
          <w:sz w:val="22"/>
        </w:rPr>
        <w:t> </w:t>
      </w:r>
      <w:r>
        <w:rPr>
          <w:sz w:val="22"/>
        </w:rPr>
        <w:t>Foundation</w:t>
      </w:r>
      <w:r>
        <w:rPr>
          <w:spacing w:val="31"/>
          <w:sz w:val="22"/>
        </w:rPr>
        <w:t> </w:t>
      </w:r>
      <w:r>
        <w:rPr>
          <w:sz w:val="22"/>
        </w:rPr>
        <w:t>Research</w:t>
      </w:r>
      <w:r>
        <w:rPr>
          <w:spacing w:val="31"/>
          <w:sz w:val="22"/>
        </w:rPr>
        <w:t> </w:t>
      </w:r>
      <w:r>
        <w:rPr>
          <w:sz w:val="22"/>
        </w:rPr>
        <w:t>institute. </w:t>
      </w:r>
      <w:hyperlink r:id="rId12">
        <w:r>
          <w:rPr>
            <w:b/>
            <w:color w:val="333366"/>
            <w:spacing w:val="-2"/>
            <w:w w:val="110"/>
            <w:sz w:val="22"/>
            <w:u w:val="single" w:color="333366"/>
          </w:rPr>
          <w:t>https://scanloninstitute.org.au/wp-content/uploads/Scanlon-Institute_Narrative-</w:t>
        </w:r>
      </w:hyperlink>
      <w:r>
        <w:rPr>
          <w:b/>
          <w:color w:val="333366"/>
          <w:spacing w:val="-2"/>
          <w:w w:val="110"/>
          <w:sz w:val="22"/>
          <w:u w:val="none"/>
        </w:rPr>
        <w:t> </w:t>
      </w:r>
      <w:hyperlink r:id="rId12">
        <w:r>
          <w:rPr>
            <w:b/>
            <w:color w:val="333366"/>
            <w:spacing w:val="-2"/>
            <w:w w:val="110"/>
            <w:sz w:val="22"/>
            <w:u w:val="single" w:color="333366"/>
          </w:rPr>
          <w:t>5_v2.1.pdf</w:t>
        </w:r>
      </w:hyperlink>
    </w:p>
    <w:p>
      <w:pPr>
        <w:spacing w:line="276" w:lineRule="auto" w:before="121"/>
        <w:ind w:left="1440" w:right="1511" w:firstLine="0"/>
        <w:jc w:val="left"/>
        <w:rPr>
          <w:b/>
          <w:sz w:val="22"/>
        </w:rPr>
      </w:pPr>
      <w:r>
        <w:rPr>
          <w:w w:val="105"/>
          <w:sz w:val="22"/>
        </w:rPr>
        <w:t>Carrasco, S., Dangol, N., &amp; Faleh, M. (2023). Rethinking social networks in responding to</w:t>
      </w:r>
      <w:r>
        <w:rPr>
          <w:spacing w:val="40"/>
          <w:w w:val="105"/>
          <w:sz w:val="22"/>
        </w:rPr>
        <w:t> </w:t>
      </w:r>
      <w:r>
        <w:rPr>
          <w:w w:val="105"/>
          <w:sz w:val="22"/>
        </w:rPr>
        <w:t>COVID-19: The case of African migrants in Melbourne’s Public Housing. </w:t>
      </w:r>
      <w:r>
        <w:rPr>
          <w:i/>
          <w:w w:val="105"/>
          <w:sz w:val="22"/>
        </w:rPr>
        <w:t>International Journal of</w:t>
      </w:r>
      <w:r>
        <w:rPr>
          <w:i/>
          <w:w w:val="105"/>
          <w:sz w:val="22"/>
        </w:rPr>
        <w:t> Disaster Risk Reduction</w:t>
      </w:r>
      <w:r>
        <w:rPr>
          <w:w w:val="105"/>
          <w:sz w:val="22"/>
        </w:rPr>
        <w:t>, </w:t>
      </w:r>
      <w:r>
        <w:rPr>
          <w:i/>
          <w:w w:val="105"/>
          <w:sz w:val="22"/>
        </w:rPr>
        <w:t>98</w:t>
      </w:r>
      <w:r>
        <w:rPr>
          <w:w w:val="105"/>
          <w:sz w:val="22"/>
        </w:rPr>
        <w:t>, 104073. </w:t>
      </w:r>
      <w:hyperlink r:id="rId13">
        <w:r>
          <w:rPr>
            <w:b/>
            <w:color w:val="333366"/>
            <w:w w:val="105"/>
            <w:sz w:val="22"/>
            <w:u w:val="single" w:color="333366"/>
          </w:rPr>
          <w:t>https://doi.org/10.1016/j.ijdrr.2023.104073</w:t>
        </w:r>
      </w:hyperlink>
    </w:p>
    <w:p>
      <w:pPr>
        <w:spacing w:after="0" w:line="276" w:lineRule="auto"/>
        <w:jc w:val="left"/>
        <w:rPr>
          <w:b/>
          <w:sz w:val="22"/>
        </w:rPr>
        <w:sectPr>
          <w:pgSz w:w="11910" w:h="16840"/>
          <w:pgMar w:header="0" w:footer="891" w:top="1380" w:bottom="1080" w:left="0" w:right="0"/>
        </w:sectPr>
      </w:pPr>
    </w:p>
    <w:p>
      <w:pPr>
        <w:spacing w:line="276" w:lineRule="auto" w:before="78"/>
        <w:ind w:left="1440" w:right="1547" w:firstLine="0"/>
        <w:jc w:val="left"/>
        <w:rPr>
          <w:b/>
          <w:sz w:val="22"/>
        </w:rPr>
      </w:pPr>
      <w:r>
        <w:rPr>
          <w:w w:val="105"/>
          <w:sz w:val="22"/>
        </w:rPr>
        <w:t>Dexter,</w:t>
      </w:r>
      <w:r>
        <w:rPr>
          <w:spacing w:val="-4"/>
          <w:w w:val="105"/>
          <w:sz w:val="22"/>
        </w:rPr>
        <w:t> </w:t>
      </w:r>
      <w:r>
        <w:rPr>
          <w:w w:val="105"/>
          <w:sz w:val="22"/>
        </w:rPr>
        <w:t>R.</w:t>
      </w:r>
      <w:r>
        <w:rPr>
          <w:spacing w:val="-6"/>
          <w:w w:val="105"/>
          <w:sz w:val="22"/>
        </w:rPr>
        <w:t> </w:t>
      </w:r>
      <w:r>
        <w:rPr>
          <w:w w:val="105"/>
          <w:sz w:val="22"/>
        </w:rPr>
        <w:t>(2024,</w:t>
      </w:r>
      <w:r>
        <w:rPr>
          <w:spacing w:val="-5"/>
          <w:w w:val="105"/>
          <w:sz w:val="22"/>
        </w:rPr>
        <w:t> </w:t>
      </w:r>
      <w:r>
        <w:rPr>
          <w:w w:val="105"/>
          <w:sz w:val="22"/>
        </w:rPr>
        <w:t>October</w:t>
      </w:r>
      <w:r>
        <w:rPr>
          <w:spacing w:val="-5"/>
          <w:w w:val="105"/>
          <w:sz w:val="22"/>
        </w:rPr>
        <w:t> </w:t>
      </w:r>
      <w:r>
        <w:rPr>
          <w:w w:val="105"/>
          <w:sz w:val="22"/>
        </w:rPr>
        <w:t>29).</w:t>
      </w:r>
      <w:r>
        <w:rPr>
          <w:spacing w:val="-5"/>
          <w:w w:val="105"/>
          <w:sz w:val="22"/>
        </w:rPr>
        <w:t> </w:t>
      </w:r>
      <w:r>
        <w:rPr>
          <w:w w:val="105"/>
          <w:sz w:val="22"/>
        </w:rPr>
        <w:t>Public</w:t>
      </w:r>
      <w:r>
        <w:rPr>
          <w:spacing w:val="-8"/>
          <w:w w:val="105"/>
          <w:sz w:val="22"/>
        </w:rPr>
        <w:t> </w:t>
      </w:r>
      <w:r>
        <w:rPr>
          <w:w w:val="105"/>
          <w:sz w:val="22"/>
        </w:rPr>
        <w:t>housing</w:t>
      </w:r>
      <w:r>
        <w:rPr>
          <w:spacing w:val="-3"/>
          <w:w w:val="105"/>
          <w:sz w:val="22"/>
        </w:rPr>
        <w:t> </w:t>
      </w:r>
      <w:r>
        <w:rPr>
          <w:w w:val="105"/>
          <w:sz w:val="22"/>
        </w:rPr>
        <w:t>tower</w:t>
      </w:r>
      <w:r>
        <w:rPr>
          <w:spacing w:val="-5"/>
          <w:w w:val="105"/>
          <w:sz w:val="22"/>
        </w:rPr>
        <w:t> </w:t>
      </w:r>
      <w:r>
        <w:rPr>
          <w:w w:val="105"/>
          <w:sz w:val="22"/>
        </w:rPr>
        <w:t>tenants</w:t>
      </w:r>
      <w:r>
        <w:rPr>
          <w:spacing w:val="-5"/>
          <w:w w:val="105"/>
          <w:sz w:val="22"/>
        </w:rPr>
        <w:t> </w:t>
      </w:r>
      <w:r>
        <w:rPr>
          <w:w w:val="105"/>
          <w:sz w:val="22"/>
        </w:rPr>
        <w:t>gain</w:t>
      </w:r>
      <w:r>
        <w:rPr>
          <w:spacing w:val="-6"/>
          <w:w w:val="105"/>
          <w:sz w:val="22"/>
        </w:rPr>
        <w:t> </w:t>
      </w:r>
      <w:r>
        <w:rPr>
          <w:w w:val="105"/>
          <w:sz w:val="22"/>
        </w:rPr>
        <w:t>more</w:t>
      </w:r>
      <w:r>
        <w:rPr>
          <w:spacing w:val="-3"/>
          <w:w w:val="105"/>
          <w:sz w:val="22"/>
        </w:rPr>
        <w:t> </w:t>
      </w:r>
      <w:r>
        <w:rPr>
          <w:w w:val="105"/>
          <w:sz w:val="22"/>
        </w:rPr>
        <w:t>time</w:t>
      </w:r>
      <w:r>
        <w:rPr>
          <w:spacing w:val="-5"/>
          <w:w w:val="105"/>
          <w:sz w:val="22"/>
        </w:rPr>
        <w:t> </w:t>
      </w:r>
      <w:r>
        <w:rPr>
          <w:w w:val="105"/>
          <w:sz w:val="22"/>
        </w:rPr>
        <w:t>from</w:t>
      </w:r>
      <w:r>
        <w:rPr>
          <w:spacing w:val="-4"/>
          <w:w w:val="105"/>
          <w:sz w:val="22"/>
        </w:rPr>
        <w:t> </w:t>
      </w:r>
      <w:r>
        <w:rPr>
          <w:w w:val="105"/>
          <w:sz w:val="22"/>
        </w:rPr>
        <w:t>being</w:t>
      </w:r>
      <w:r>
        <w:rPr>
          <w:spacing w:val="-5"/>
          <w:w w:val="105"/>
          <w:sz w:val="22"/>
        </w:rPr>
        <w:t> </w:t>
      </w:r>
      <w:r>
        <w:rPr>
          <w:w w:val="105"/>
          <w:sz w:val="22"/>
        </w:rPr>
        <w:t>evicted. </w:t>
      </w:r>
      <w:r>
        <w:rPr>
          <w:i/>
          <w:w w:val="105"/>
          <w:sz w:val="22"/>
        </w:rPr>
        <w:t>The Age</w:t>
      </w:r>
      <w:r>
        <w:rPr>
          <w:w w:val="105"/>
          <w:sz w:val="22"/>
        </w:rPr>
        <w:t>. </w:t>
      </w:r>
      <w:hyperlink r:id="rId14">
        <w:r>
          <w:rPr>
            <w:b/>
            <w:color w:val="333366"/>
            <w:w w:val="105"/>
            <w:sz w:val="22"/>
            <w:u w:val="single" w:color="333366"/>
          </w:rPr>
          <w:t>https://www.theage.com.au/national/victoria/public-housing-tower-tenants-</w:t>
        </w:r>
      </w:hyperlink>
      <w:r>
        <w:rPr>
          <w:b/>
          <w:color w:val="333366"/>
          <w:spacing w:val="80"/>
          <w:w w:val="105"/>
          <w:sz w:val="22"/>
          <w:u w:val="none"/>
        </w:rPr>
        <w:t> </w:t>
      </w:r>
      <w:hyperlink r:id="rId14">
        <w:r>
          <w:rPr>
            <w:b/>
            <w:color w:val="333366"/>
            <w:spacing w:val="-2"/>
            <w:w w:val="105"/>
            <w:sz w:val="22"/>
            <w:u w:val="single" w:color="333366"/>
          </w:rPr>
          <w:t>gain-more-time-from-being-evicted-20241029-p5km97.html</w:t>
        </w:r>
      </w:hyperlink>
    </w:p>
    <w:p>
      <w:pPr>
        <w:pStyle w:val="BodyText"/>
        <w:spacing w:line="276" w:lineRule="auto" w:before="121"/>
        <w:ind w:right="1547"/>
      </w:pPr>
      <w:r>
        <w:rPr>
          <w:w w:val="105"/>
        </w:rPr>
        <w:t>Easthope, H., Stone, W., &amp; Cheshire, L. (2018). The decline of ‘advantageous disadvantage’ in gateway suburbs in Australia: The challenge of private housing market settlement for newly arrived migrants. </w:t>
      </w:r>
      <w:r>
        <w:rPr>
          <w:i/>
          <w:w w:val="105"/>
        </w:rPr>
        <w:t>Urban Studies</w:t>
      </w:r>
      <w:r>
        <w:rPr>
          <w:w w:val="105"/>
        </w:rPr>
        <w:t>, </w:t>
      </w:r>
      <w:r>
        <w:rPr>
          <w:i/>
          <w:w w:val="105"/>
        </w:rPr>
        <w:t>55</w:t>
      </w:r>
      <w:r>
        <w:rPr>
          <w:w w:val="105"/>
        </w:rPr>
        <w:t>(9), 1904–1923.</w:t>
      </w:r>
    </w:p>
    <w:p>
      <w:pPr>
        <w:spacing w:line="276" w:lineRule="auto" w:before="119"/>
        <w:ind w:left="1440" w:right="1849" w:firstLine="0"/>
        <w:jc w:val="left"/>
        <w:rPr>
          <w:b/>
          <w:sz w:val="22"/>
        </w:rPr>
      </w:pPr>
      <w:r>
        <w:rPr>
          <w:sz w:val="22"/>
        </w:rPr>
        <w:t>M.</w:t>
      </w:r>
      <w:r>
        <w:rPr>
          <w:spacing w:val="34"/>
          <w:sz w:val="22"/>
        </w:rPr>
        <w:t> </w:t>
      </w:r>
      <w:r>
        <w:rPr>
          <w:sz w:val="22"/>
        </w:rPr>
        <w:t>Hach.,</w:t>
      </w:r>
      <w:r>
        <w:rPr>
          <w:spacing w:val="34"/>
          <w:sz w:val="22"/>
        </w:rPr>
        <w:t> </w:t>
      </w:r>
      <w:r>
        <w:rPr>
          <w:sz w:val="22"/>
        </w:rPr>
        <w:t>R.</w:t>
      </w:r>
      <w:r>
        <w:rPr>
          <w:spacing w:val="34"/>
          <w:sz w:val="22"/>
        </w:rPr>
        <w:t> </w:t>
      </w:r>
      <w:r>
        <w:rPr>
          <w:sz w:val="22"/>
        </w:rPr>
        <w:t>Aryal-Lees</w:t>
      </w:r>
      <w:r>
        <w:rPr>
          <w:spacing w:val="32"/>
          <w:sz w:val="22"/>
        </w:rPr>
        <w:t> </w:t>
      </w:r>
      <w:r>
        <w:rPr>
          <w:sz w:val="22"/>
        </w:rPr>
        <w:t>(2019)</w:t>
      </w:r>
      <w:r>
        <w:rPr>
          <w:spacing w:val="34"/>
          <w:sz w:val="22"/>
        </w:rPr>
        <w:t> </w:t>
      </w:r>
      <w:r>
        <w:rPr>
          <w:sz w:val="22"/>
        </w:rPr>
        <w:t>Workplace</w:t>
      </w:r>
      <w:r>
        <w:rPr>
          <w:spacing w:val="36"/>
          <w:sz w:val="22"/>
        </w:rPr>
        <w:t> </w:t>
      </w:r>
      <w:r>
        <w:rPr>
          <w:sz w:val="22"/>
        </w:rPr>
        <w:t>Equality:</w:t>
      </w:r>
      <w:r>
        <w:rPr>
          <w:spacing w:val="28"/>
          <w:sz w:val="22"/>
        </w:rPr>
        <w:t> </w:t>
      </w:r>
      <w:r>
        <w:rPr>
          <w:sz w:val="22"/>
        </w:rPr>
        <w:t>A</w:t>
      </w:r>
      <w:r>
        <w:rPr>
          <w:spacing w:val="34"/>
          <w:sz w:val="22"/>
        </w:rPr>
        <w:t> </w:t>
      </w:r>
      <w:r>
        <w:rPr>
          <w:sz w:val="22"/>
        </w:rPr>
        <w:t>Model</w:t>
      </w:r>
      <w:r>
        <w:rPr>
          <w:spacing w:val="30"/>
          <w:sz w:val="22"/>
        </w:rPr>
        <w:t> </w:t>
      </w:r>
      <w:r>
        <w:rPr>
          <w:sz w:val="22"/>
        </w:rPr>
        <w:t>for</w:t>
      </w:r>
      <w:r>
        <w:rPr>
          <w:spacing w:val="32"/>
          <w:sz w:val="22"/>
        </w:rPr>
        <w:t> </w:t>
      </w:r>
      <w:r>
        <w:rPr>
          <w:sz w:val="22"/>
        </w:rPr>
        <w:t>Preventing</w:t>
      </w:r>
      <w:r>
        <w:rPr>
          <w:spacing w:val="32"/>
          <w:sz w:val="22"/>
        </w:rPr>
        <w:t> </w:t>
      </w:r>
      <w:r>
        <w:rPr>
          <w:sz w:val="22"/>
        </w:rPr>
        <w:t>Violence</w:t>
      </w:r>
      <w:r>
        <w:rPr>
          <w:spacing w:val="32"/>
          <w:sz w:val="22"/>
        </w:rPr>
        <w:t> </w:t>
      </w:r>
      <w:r>
        <w:rPr>
          <w:sz w:val="22"/>
        </w:rPr>
        <w:t>Against Migrant and Refugee Women. Multicultural Centre for Women’s Health: Melbourne.</w:t>
      </w:r>
      <w:r>
        <w:rPr>
          <w:spacing w:val="80"/>
          <w:w w:val="113"/>
          <w:sz w:val="22"/>
        </w:rPr>
        <w:t> </w:t>
      </w:r>
      <w:hyperlink r:id="rId15">
        <w:r>
          <w:rPr>
            <w:b/>
            <w:color w:val="333366"/>
            <w:spacing w:val="-2"/>
            <w:sz w:val="22"/>
            <w:u w:val="single" w:color="333366"/>
          </w:rPr>
          <w:t>https://www.mcwh.com.au/wp-content/uploads/Workplace-Equality_Resource-1.pdf</w:t>
        </w:r>
      </w:hyperlink>
    </w:p>
    <w:p>
      <w:pPr>
        <w:pStyle w:val="BodyText"/>
        <w:spacing w:before="120"/>
      </w:pPr>
      <w:r>
        <w:rPr>
          <w:spacing w:val="4"/>
        </w:rPr>
        <w:t>Homelessness</w:t>
      </w:r>
      <w:r>
        <w:rPr>
          <w:spacing w:val="34"/>
        </w:rPr>
        <w:t> </w:t>
      </w:r>
      <w:r>
        <w:rPr>
          <w:spacing w:val="4"/>
        </w:rPr>
        <w:t>Australia.</w:t>
      </w:r>
      <w:r>
        <w:rPr>
          <w:spacing w:val="28"/>
        </w:rPr>
        <w:t> </w:t>
      </w:r>
      <w:r>
        <w:rPr>
          <w:spacing w:val="4"/>
        </w:rPr>
        <w:t>“Homelessness</w:t>
      </w:r>
      <w:r>
        <w:rPr>
          <w:spacing w:val="34"/>
        </w:rPr>
        <w:t> </w:t>
      </w:r>
      <w:r>
        <w:rPr>
          <w:spacing w:val="4"/>
        </w:rPr>
        <w:t>and</w:t>
      </w:r>
      <w:r>
        <w:rPr>
          <w:spacing w:val="39"/>
        </w:rPr>
        <w:t> </w:t>
      </w:r>
      <w:r>
        <w:rPr>
          <w:spacing w:val="4"/>
        </w:rPr>
        <w:t>Domestic</w:t>
      </w:r>
      <w:r>
        <w:rPr>
          <w:spacing w:val="35"/>
        </w:rPr>
        <w:t> </w:t>
      </w:r>
      <w:r>
        <w:rPr>
          <w:spacing w:val="4"/>
        </w:rPr>
        <w:t>and</w:t>
      </w:r>
      <w:r>
        <w:rPr>
          <w:spacing w:val="31"/>
        </w:rPr>
        <w:t> </w:t>
      </w:r>
      <w:r>
        <w:rPr>
          <w:spacing w:val="4"/>
        </w:rPr>
        <w:t>Family</w:t>
      </w:r>
      <w:r>
        <w:rPr>
          <w:spacing w:val="33"/>
        </w:rPr>
        <w:t> </w:t>
      </w:r>
      <w:r>
        <w:rPr>
          <w:spacing w:val="4"/>
        </w:rPr>
        <w:t>Violence,”</w:t>
      </w:r>
      <w:r>
        <w:rPr>
          <w:spacing w:val="34"/>
        </w:rPr>
        <w:t> </w:t>
      </w:r>
      <w:r>
        <w:rPr>
          <w:spacing w:val="-2"/>
        </w:rPr>
        <w:t>2024.</w:t>
      </w:r>
    </w:p>
    <w:p>
      <w:pPr>
        <w:spacing w:before="41"/>
        <w:ind w:left="1440" w:right="0" w:firstLine="0"/>
        <w:jc w:val="left"/>
        <w:rPr>
          <w:sz w:val="22"/>
        </w:rPr>
      </w:pPr>
      <w:hyperlink r:id="rId16">
        <w:r>
          <w:rPr>
            <w:b/>
            <w:color w:val="333366"/>
            <w:sz w:val="22"/>
            <w:u w:val="single" w:color="333366"/>
          </w:rPr>
          <w:t>https://homelessnessaustralia.org.au/wp-content/uploads/2024/03/IWD-2024-</w:t>
        </w:r>
        <w:r>
          <w:rPr>
            <w:b/>
            <w:color w:val="333366"/>
            <w:spacing w:val="-2"/>
            <w:sz w:val="22"/>
            <w:u w:val="single" w:color="333366"/>
          </w:rPr>
          <w:t>3.pdf</w:t>
        </w:r>
      </w:hyperlink>
      <w:r>
        <w:rPr>
          <w:spacing w:val="-2"/>
          <w:sz w:val="22"/>
          <w:u w:val="none"/>
        </w:rPr>
        <w:t>.</w:t>
      </w:r>
    </w:p>
    <w:p>
      <w:pPr>
        <w:spacing w:line="276" w:lineRule="auto" w:before="162"/>
        <w:ind w:left="1440" w:right="0" w:firstLine="0"/>
        <w:jc w:val="left"/>
        <w:rPr>
          <w:b/>
          <w:sz w:val="22"/>
        </w:rPr>
      </w:pPr>
      <w:r>
        <w:rPr>
          <w:w w:val="110"/>
          <w:sz w:val="22"/>
        </w:rPr>
        <w:t>Homes</w:t>
      </w:r>
      <w:r>
        <w:rPr>
          <w:spacing w:val="-10"/>
          <w:w w:val="110"/>
          <w:sz w:val="22"/>
        </w:rPr>
        <w:t> </w:t>
      </w:r>
      <w:r>
        <w:rPr>
          <w:w w:val="110"/>
          <w:sz w:val="22"/>
        </w:rPr>
        <w:t>Victoria.</w:t>
      </w:r>
      <w:r>
        <w:rPr>
          <w:spacing w:val="-11"/>
          <w:w w:val="110"/>
          <w:sz w:val="22"/>
        </w:rPr>
        <w:t> </w:t>
      </w:r>
      <w:r>
        <w:rPr>
          <w:w w:val="110"/>
          <w:sz w:val="22"/>
        </w:rPr>
        <w:t>(2022).</w:t>
      </w:r>
      <w:r>
        <w:rPr>
          <w:spacing w:val="-12"/>
          <w:w w:val="110"/>
          <w:sz w:val="22"/>
        </w:rPr>
        <w:t> </w:t>
      </w:r>
      <w:r>
        <w:rPr>
          <w:i/>
          <w:w w:val="110"/>
          <w:sz w:val="22"/>
        </w:rPr>
        <w:t>Victorian</w:t>
      </w:r>
      <w:r>
        <w:rPr>
          <w:i/>
          <w:spacing w:val="-10"/>
          <w:w w:val="110"/>
          <w:sz w:val="22"/>
        </w:rPr>
        <w:t> </w:t>
      </w:r>
      <w:r>
        <w:rPr>
          <w:i/>
          <w:w w:val="110"/>
          <w:sz w:val="22"/>
        </w:rPr>
        <w:t>Public</w:t>
      </w:r>
      <w:r>
        <w:rPr>
          <w:i/>
          <w:spacing w:val="-10"/>
          <w:w w:val="110"/>
          <w:sz w:val="22"/>
        </w:rPr>
        <w:t> </w:t>
      </w:r>
      <w:r>
        <w:rPr>
          <w:i/>
          <w:w w:val="110"/>
          <w:sz w:val="22"/>
        </w:rPr>
        <w:t>Housing</w:t>
      </w:r>
      <w:r>
        <w:rPr>
          <w:i/>
          <w:spacing w:val="-12"/>
          <w:w w:val="110"/>
          <w:sz w:val="22"/>
        </w:rPr>
        <w:t> </w:t>
      </w:r>
      <w:r>
        <w:rPr>
          <w:i/>
          <w:w w:val="110"/>
          <w:sz w:val="22"/>
        </w:rPr>
        <w:t>Resident</w:t>
      </w:r>
      <w:r>
        <w:rPr>
          <w:i/>
          <w:spacing w:val="-13"/>
          <w:w w:val="110"/>
          <w:sz w:val="22"/>
        </w:rPr>
        <w:t> </w:t>
      </w:r>
      <w:r>
        <w:rPr>
          <w:i/>
          <w:w w:val="110"/>
          <w:sz w:val="22"/>
        </w:rPr>
        <w:t>Survey</w:t>
      </w:r>
      <w:r>
        <w:rPr>
          <w:w w:val="110"/>
          <w:sz w:val="22"/>
        </w:rPr>
        <w:t>.</w:t>
      </w:r>
      <w:r>
        <w:rPr>
          <w:spacing w:val="-14"/>
          <w:w w:val="110"/>
          <w:sz w:val="22"/>
        </w:rPr>
        <w:t> </w:t>
      </w:r>
      <w:r>
        <w:rPr>
          <w:w w:val="110"/>
          <w:sz w:val="22"/>
        </w:rPr>
        <w:t>Homes</w:t>
      </w:r>
      <w:r>
        <w:rPr>
          <w:spacing w:val="-11"/>
          <w:w w:val="110"/>
          <w:sz w:val="22"/>
        </w:rPr>
        <w:t> </w:t>
      </w:r>
      <w:r>
        <w:rPr>
          <w:w w:val="110"/>
          <w:sz w:val="22"/>
        </w:rPr>
        <w:t>Victoria. </w:t>
      </w:r>
      <w:hyperlink r:id="rId17">
        <w:r>
          <w:rPr>
            <w:b/>
            <w:color w:val="333366"/>
            <w:spacing w:val="-2"/>
            <w:sz w:val="22"/>
            <w:u w:val="single" w:color="333366"/>
          </w:rPr>
          <w:t>https://www.housing.vic.gov.au/sites/default/files/documents/202309/HV015922_2022_r</w:t>
        </w:r>
      </w:hyperlink>
      <w:r>
        <w:rPr>
          <w:b/>
          <w:color w:val="333366"/>
          <w:spacing w:val="80"/>
          <w:w w:val="150"/>
          <w:sz w:val="22"/>
          <w:u w:val="none"/>
        </w:rPr>
        <w:t>    </w:t>
      </w:r>
      <w:hyperlink r:id="rId17">
        <w:r>
          <w:rPr>
            <w:b/>
            <w:color w:val="333366"/>
            <w:spacing w:val="-2"/>
            <w:w w:val="110"/>
            <w:sz w:val="22"/>
            <w:u w:val="single" w:color="333366"/>
          </w:rPr>
          <w:t>esident_survey_A4_v11_0.pdf</w:t>
        </w:r>
      </w:hyperlink>
    </w:p>
    <w:p>
      <w:pPr>
        <w:spacing w:line="276" w:lineRule="auto" w:before="120"/>
        <w:ind w:left="1440" w:right="1547" w:firstLine="0"/>
        <w:jc w:val="left"/>
        <w:rPr>
          <w:b/>
          <w:sz w:val="22"/>
        </w:rPr>
      </w:pPr>
      <w:r>
        <w:rPr>
          <w:w w:val="105"/>
          <w:sz w:val="22"/>
        </w:rPr>
        <w:t>Hu, W. (n.d.). Transforming public housing in Australia: Embracing sustainable refurbishment over demolition. </w:t>
      </w:r>
      <w:r>
        <w:rPr>
          <w:i/>
          <w:w w:val="105"/>
          <w:sz w:val="22"/>
        </w:rPr>
        <w:t>Urban Research &amp; Practice</w:t>
      </w:r>
      <w:r>
        <w:rPr>
          <w:w w:val="105"/>
          <w:sz w:val="22"/>
        </w:rPr>
        <w:t>, </w:t>
      </w:r>
      <w:r>
        <w:rPr>
          <w:i/>
          <w:w w:val="105"/>
          <w:sz w:val="22"/>
        </w:rPr>
        <w:t>0</w:t>
      </w:r>
      <w:r>
        <w:rPr>
          <w:w w:val="105"/>
          <w:sz w:val="22"/>
        </w:rPr>
        <w:t>(0), 1–11. </w:t>
      </w:r>
      <w:hyperlink r:id="rId18">
        <w:r>
          <w:rPr>
            <w:b/>
            <w:color w:val="333366"/>
            <w:spacing w:val="-2"/>
            <w:w w:val="105"/>
            <w:sz w:val="22"/>
            <w:u w:val="single" w:color="333366"/>
          </w:rPr>
          <w:t>https://doi.org/10.1080/17535069.2025.2450478</w:t>
        </w:r>
      </w:hyperlink>
    </w:p>
    <w:p>
      <w:pPr>
        <w:spacing w:line="276" w:lineRule="auto" w:before="120"/>
        <w:ind w:left="1440" w:right="1547" w:firstLine="0"/>
        <w:jc w:val="left"/>
        <w:rPr>
          <w:b/>
          <w:sz w:val="22"/>
        </w:rPr>
      </w:pPr>
      <w:r>
        <w:rPr>
          <w:w w:val="105"/>
          <w:sz w:val="22"/>
        </w:rPr>
        <w:t>Morris,</w:t>
      </w:r>
      <w:r>
        <w:rPr>
          <w:spacing w:val="-2"/>
          <w:w w:val="105"/>
          <w:sz w:val="22"/>
        </w:rPr>
        <w:t> </w:t>
      </w:r>
      <w:r>
        <w:rPr>
          <w:w w:val="105"/>
          <w:sz w:val="22"/>
        </w:rPr>
        <w:t>A.</w:t>
      </w:r>
      <w:r>
        <w:rPr>
          <w:spacing w:val="-5"/>
          <w:w w:val="105"/>
          <w:sz w:val="22"/>
        </w:rPr>
        <w:t> </w:t>
      </w:r>
      <w:r>
        <w:rPr>
          <w:w w:val="105"/>
          <w:sz w:val="22"/>
        </w:rPr>
        <w:t>(2013).</w:t>
      </w:r>
      <w:r>
        <w:rPr>
          <w:spacing w:val="-3"/>
          <w:w w:val="105"/>
          <w:sz w:val="22"/>
        </w:rPr>
        <w:t> </w:t>
      </w:r>
      <w:r>
        <w:rPr>
          <w:w w:val="105"/>
          <w:sz w:val="22"/>
        </w:rPr>
        <w:t>Public</w:t>
      </w:r>
      <w:r>
        <w:rPr>
          <w:spacing w:val="-5"/>
          <w:w w:val="105"/>
          <w:sz w:val="22"/>
        </w:rPr>
        <w:t> </w:t>
      </w:r>
      <w:r>
        <w:rPr>
          <w:w w:val="105"/>
          <w:sz w:val="22"/>
        </w:rPr>
        <w:t>housing in Australia:</w:t>
      </w:r>
      <w:r>
        <w:rPr>
          <w:spacing w:val="-2"/>
          <w:w w:val="105"/>
          <w:sz w:val="22"/>
        </w:rPr>
        <w:t> </w:t>
      </w:r>
      <w:r>
        <w:rPr>
          <w:w w:val="105"/>
          <w:sz w:val="22"/>
        </w:rPr>
        <w:t>A</w:t>
      </w:r>
      <w:r>
        <w:rPr>
          <w:spacing w:val="-2"/>
          <w:w w:val="105"/>
          <w:sz w:val="22"/>
        </w:rPr>
        <w:t> </w:t>
      </w:r>
      <w:r>
        <w:rPr>
          <w:w w:val="105"/>
          <w:sz w:val="22"/>
        </w:rPr>
        <w:t>case of</w:t>
      </w:r>
      <w:r>
        <w:rPr>
          <w:spacing w:val="-4"/>
          <w:w w:val="105"/>
          <w:sz w:val="22"/>
        </w:rPr>
        <w:t> </w:t>
      </w:r>
      <w:r>
        <w:rPr>
          <w:w w:val="105"/>
          <w:sz w:val="22"/>
        </w:rPr>
        <w:t>advanced urban</w:t>
      </w:r>
      <w:r>
        <w:rPr>
          <w:spacing w:val="-4"/>
          <w:w w:val="105"/>
          <w:sz w:val="22"/>
        </w:rPr>
        <w:t> </w:t>
      </w:r>
      <w:r>
        <w:rPr>
          <w:w w:val="105"/>
          <w:sz w:val="22"/>
        </w:rPr>
        <w:t>marginality? </w:t>
      </w:r>
      <w:r>
        <w:rPr>
          <w:i/>
          <w:w w:val="105"/>
          <w:sz w:val="22"/>
        </w:rPr>
        <w:t>The</w:t>
      </w:r>
      <w:r>
        <w:rPr>
          <w:i/>
          <w:w w:val="105"/>
          <w:sz w:val="22"/>
        </w:rPr>
        <w:t> Economic and Labour Relations Review</w:t>
      </w:r>
      <w:r>
        <w:rPr>
          <w:w w:val="105"/>
          <w:sz w:val="22"/>
        </w:rPr>
        <w:t>, </w:t>
      </w:r>
      <w:r>
        <w:rPr>
          <w:i/>
          <w:w w:val="105"/>
          <w:sz w:val="22"/>
        </w:rPr>
        <w:t>24</w:t>
      </w:r>
      <w:r>
        <w:rPr>
          <w:w w:val="105"/>
          <w:sz w:val="22"/>
        </w:rPr>
        <w:t>(1), 80–96. </w:t>
      </w:r>
      <w:hyperlink r:id="rId19">
        <w:r>
          <w:rPr>
            <w:b/>
            <w:color w:val="333366"/>
            <w:spacing w:val="-2"/>
            <w:w w:val="105"/>
            <w:sz w:val="22"/>
            <w:u w:val="single" w:color="333366"/>
          </w:rPr>
          <w:t>https://doi.org/10.1177/1035304612474215</w:t>
        </w:r>
      </w:hyperlink>
    </w:p>
    <w:p>
      <w:pPr>
        <w:spacing w:line="276" w:lineRule="auto" w:before="120"/>
        <w:ind w:left="1440" w:right="2095" w:firstLine="0"/>
        <w:jc w:val="left"/>
        <w:rPr>
          <w:b/>
          <w:sz w:val="22"/>
        </w:rPr>
      </w:pPr>
      <w:r>
        <w:rPr>
          <w:spacing w:val="-2"/>
          <w:w w:val="110"/>
          <w:sz w:val="22"/>
        </w:rPr>
        <w:t>Multicultural</w:t>
      </w:r>
      <w:r>
        <w:rPr>
          <w:spacing w:val="-7"/>
          <w:w w:val="110"/>
          <w:sz w:val="22"/>
        </w:rPr>
        <w:t> </w:t>
      </w:r>
      <w:r>
        <w:rPr>
          <w:spacing w:val="-2"/>
          <w:w w:val="110"/>
          <w:sz w:val="22"/>
        </w:rPr>
        <w:t>Centre</w:t>
      </w:r>
      <w:r>
        <w:rPr>
          <w:spacing w:val="-5"/>
          <w:w w:val="110"/>
          <w:sz w:val="22"/>
        </w:rPr>
        <w:t> </w:t>
      </w:r>
      <w:r>
        <w:rPr>
          <w:spacing w:val="-2"/>
          <w:w w:val="110"/>
          <w:sz w:val="22"/>
        </w:rPr>
        <w:t>for</w:t>
      </w:r>
      <w:r>
        <w:rPr>
          <w:spacing w:val="-6"/>
          <w:w w:val="110"/>
          <w:sz w:val="22"/>
        </w:rPr>
        <w:t> </w:t>
      </w:r>
      <w:r>
        <w:rPr>
          <w:spacing w:val="-2"/>
          <w:w w:val="110"/>
          <w:sz w:val="22"/>
        </w:rPr>
        <w:t>Women’s</w:t>
      </w:r>
      <w:r>
        <w:rPr>
          <w:spacing w:val="-6"/>
          <w:w w:val="110"/>
          <w:sz w:val="22"/>
        </w:rPr>
        <w:t> </w:t>
      </w:r>
      <w:r>
        <w:rPr>
          <w:spacing w:val="-2"/>
          <w:w w:val="110"/>
          <w:sz w:val="22"/>
        </w:rPr>
        <w:t>Health.</w:t>
      </w:r>
      <w:r>
        <w:rPr>
          <w:spacing w:val="-5"/>
          <w:w w:val="110"/>
          <w:sz w:val="22"/>
        </w:rPr>
        <w:t> </w:t>
      </w:r>
      <w:r>
        <w:rPr>
          <w:spacing w:val="-2"/>
          <w:w w:val="110"/>
          <w:sz w:val="22"/>
        </w:rPr>
        <w:t>(2022).</w:t>
      </w:r>
      <w:r>
        <w:rPr>
          <w:spacing w:val="-8"/>
          <w:w w:val="110"/>
          <w:sz w:val="22"/>
        </w:rPr>
        <w:t> </w:t>
      </w:r>
      <w:r>
        <w:rPr>
          <w:i/>
          <w:spacing w:val="-2"/>
          <w:w w:val="110"/>
          <w:sz w:val="22"/>
        </w:rPr>
        <w:t>Senate</w:t>
      </w:r>
      <w:r>
        <w:rPr>
          <w:i/>
          <w:spacing w:val="-4"/>
          <w:w w:val="110"/>
          <w:sz w:val="22"/>
        </w:rPr>
        <w:t> </w:t>
      </w:r>
      <w:r>
        <w:rPr>
          <w:i/>
          <w:spacing w:val="-2"/>
          <w:w w:val="110"/>
          <w:sz w:val="22"/>
        </w:rPr>
        <w:t>Inquiry</w:t>
      </w:r>
      <w:r>
        <w:rPr>
          <w:i/>
          <w:spacing w:val="-6"/>
          <w:w w:val="110"/>
          <w:sz w:val="22"/>
        </w:rPr>
        <w:t> </w:t>
      </w:r>
      <w:r>
        <w:rPr>
          <w:i/>
          <w:spacing w:val="-2"/>
          <w:w w:val="110"/>
          <w:sz w:val="22"/>
        </w:rPr>
        <w:t>on</w:t>
      </w:r>
      <w:r>
        <w:rPr>
          <w:i/>
          <w:spacing w:val="-6"/>
          <w:w w:val="110"/>
          <w:sz w:val="22"/>
        </w:rPr>
        <w:t> </w:t>
      </w:r>
      <w:r>
        <w:rPr>
          <w:i/>
          <w:spacing w:val="-2"/>
          <w:w w:val="110"/>
          <w:sz w:val="22"/>
        </w:rPr>
        <w:t>Universal</w:t>
      </w:r>
      <w:r>
        <w:rPr>
          <w:i/>
          <w:spacing w:val="-5"/>
          <w:w w:val="110"/>
          <w:sz w:val="22"/>
        </w:rPr>
        <w:t> </w:t>
      </w:r>
      <w:r>
        <w:rPr>
          <w:i/>
          <w:spacing w:val="-2"/>
          <w:w w:val="110"/>
          <w:sz w:val="22"/>
        </w:rPr>
        <w:t>Access</w:t>
      </w:r>
      <w:r>
        <w:rPr>
          <w:i/>
          <w:spacing w:val="-6"/>
          <w:w w:val="110"/>
          <w:sz w:val="22"/>
        </w:rPr>
        <w:t> </w:t>
      </w:r>
      <w:r>
        <w:rPr>
          <w:i/>
          <w:spacing w:val="-2"/>
          <w:w w:val="110"/>
          <w:sz w:val="22"/>
        </w:rPr>
        <w:t>to</w:t>
      </w:r>
      <w:r>
        <w:rPr>
          <w:i/>
          <w:spacing w:val="-2"/>
          <w:w w:val="110"/>
          <w:sz w:val="22"/>
        </w:rPr>
        <w:t> </w:t>
      </w:r>
      <w:r>
        <w:rPr>
          <w:i/>
          <w:w w:val="110"/>
          <w:sz w:val="22"/>
        </w:rPr>
        <w:t>Reproductive</w:t>
      </w:r>
      <w:r>
        <w:rPr>
          <w:i/>
          <w:spacing w:val="-14"/>
          <w:w w:val="110"/>
          <w:sz w:val="22"/>
        </w:rPr>
        <w:t> </w:t>
      </w:r>
      <w:r>
        <w:rPr>
          <w:i/>
          <w:w w:val="110"/>
          <w:sz w:val="22"/>
        </w:rPr>
        <w:t>Healthcare</w:t>
      </w:r>
      <w:r>
        <w:rPr>
          <w:w w:val="110"/>
          <w:sz w:val="22"/>
        </w:rPr>
        <w:t>.</w:t>
      </w:r>
      <w:r>
        <w:rPr>
          <w:spacing w:val="-14"/>
          <w:w w:val="110"/>
          <w:sz w:val="22"/>
        </w:rPr>
        <w:t> </w:t>
      </w:r>
      <w:r>
        <w:rPr>
          <w:w w:val="110"/>
          <w:sz w:val="22"/>
        </w:rPr>
        <w:t>Multicultural</w:t>
      </w:r>
      <w:r>
        <w:rPr>
          <w:spacing w:val="-14"/>
          <w:w w:val="110"/>
          <w:sz w:val="22"/>
        </w:rPr>
        <w:t> </w:t>
      </w:r>
      <w:r>
        <w:rPr>
          <w:w w:val="110"/>
          <w:sz w:val="22"/>
        </w:rPr>
        <w:t>Centre</w:t>
      </w:r>
      <w:r>
        <w:rPr>
          <w:spacing w:val="-13"/>
          <w:w w:val="110"/>
          <w:sz w:val="22"/>
        </w:rPr>
        <w:t> </w:t>
      </w:r>
      <w:r>
        <w:rPr>
          <w:w w:val="110"/>
          <w:sz w:val="22"/>
        </w:rPr>
        <w:t>for</w:t>
      </w:r>
      <w:r>
        <w:rPr>
          <w:spacing w:val="-14"/>
          <w:w w:val="110"/>
          <w:sz w:val="22"/>
        </w:rPr>
        <w:t> </w:t>
      </w:r>
      <w:r>
        <w:rPr>
          <w:w w:val="110"/>
          <w:sz w:val="22"/>
        </w:rPr>
        <w:t>Women’s</w:t>
      </w:r>
      <w:r>
        <w:rPr>
          <w:spacing w:val="-14"/>
          <w:w w:val="110"/>
          <w:sz w:val="22"/>
        </w:rPr>
        <w:t> </w:t>
      </w:r>
      <w:r>
        <w:rPr>
          <w:w w:val="110"/>
          <w:sz w:val="22"/>
        </w:rPr>
        <w:t>Health. </w:t>
      </w:r>
      <w:hyperlink r:id="rId20">
        <w:r>
          <w:rPr>
            <w:b/>
            <w:color w:val="333366"/>
            <w:spacing w:val="-2"/>
            <w:w w:val="110"/>
            <w:sz w:val="22"/>
            <w:u w:val="single" w:color="333366"/>
          </w:rPr>
          <w:t>https://www.mcwh.com.au/wp-content/uploads/MCWH-Universal-Access-Inquiry-</w:t>
        </w:r>
      </w:hyperlink>
      <w:r>
        <w:rPr>
          <w:b/>
          <w:color w:val="333366"/>
          <w:spacing w:val="-2"/>
          <w:w w:val="110"/>
          <w:sz w:val="22"/>
          <w:u w:val="none"/>
        </w:rPr>
        <w:t> </w:t>
      </w:r>
      <w:hyperlink r:id="rId20">
        <w:r>
          <w:rPr>
            <w:b/>
            <w:color w:val="333366"/>
            <w:spacing w:val="-2"/>
            <w:w w:val="110"/>
            <w:sz w:val="22"/>
            <w:u w:val="single" w:color="333366"/>
          </w:rPr>
          <w:t>Submission_final-20221215.pdf</w:t>
        </w:r>
      </w:hyperlink>
    </w:p>
    <w:p>
      <w:pPr>
        <w:pStyle w:val="BodyText"/>
        <w:spacing w:before="118"/>
      </w:pPr>
      <w:r>
        <w:rPr>
          <w:w w:val="105"/>
        </w:rPr>
        <w:t>Multicultural</w:t>
      </w:r>
      <w:r>
        <w:rPr>
          <w:spacing w:val="-9"/>
          <w:w w:val="105"/>
        </w:rPr>
        <w:t> </w:t>
      </w:r>
      <w:r>
        <w:rPr>
          <w:w w:val="105"/>
        </w:rPr>
        <w:t>Centre</w:t>
      </w:r>
      <w:r>
        <w:rPr>
          <w:spacing w:val="-6"/>
          <w:w w:val="105"/>
        </w:rPr>
        <w:t> </w:t>
      </w:r>
      <w:r>
        <w:rPr>
          <w:w w:val="105"/>
        </w:rPr>
        <w:t>for</w:t>
      </w:r>
      <w:r>
        <w:rPr>
          <w:spacing w:val="-7"/>
          <w:w w:val="105"/>
        </w:rPr>
        <w:t> </w:t>
      </w:r>
      <w:r>
        <w:rPr>
          <w:w w:val="105"/>
        </w:rPr>
        <w:t>Women’s</w:t>
      </w:r>
      <w:r>
        <w:rPr>
          <w:spacing w:val="-7"/>
          <w:w w:val="105"/>
        </w:rPr>
        <w:t> </w:t>
      </w:r>
      <w:r>
        <w:rPr>
          <w:w w:val="105"/>
        </w:rPr>
        <w:t>Health,</w:t>
      </w:r>
      <w:r>
        <w:rPr>
          <w:spacing w:val="-9"/>
          <w:w w:val="105"/>
        </w:rPr>
        <w:t> </w:t>
      </w:r>
      <w:r>
        <w:rPr>
          <w:w w:val="105"/>
        </w:rPr>
        <w:t>Making</w:t>
      </w:r>
      <w:r>
        <w:rPr>
          <w:spacing w:val="-9"/>
          <w:w w:val="105"/>
        </w:rPr>
        <w:t> </w:t>
      </w:r>
      <w:r>
        <w:rPr>
          <w:w w:val="105"/>
        </w:rPr>
        <w:t>the</w:t>
      </w:r>
      <w:r>
        <w:rPr>
          <w:spacing w:val="-5"/>
          <w:w w:val="105"/>
        </w:rPr>
        <w:t> </w:t>
      </w:r>
      <w:r>
        <w:rPr>
          <w:w w:val="105"/>
        </w:rPr>
        <w:t>Links</w:t>
      </w:r>
      <w:r>
        <w:rPr>
          <w:spacing w:val="-5"/>
          <w:w w:val="105"/>
        </w:rPr>
        <w:t> </w:t>
      </w:r>
      <w:r>
        <w:rPr>
          <w:w w:val="105"/>
        </w:rPr>
        <w:t>Project</w:t>
      </w:r>
      <w:r>
        <w:rPr>
          <w:spacing w:val="-5"/>
          <w:w w:val="105"/>
        </w:rPr>
        <w:t> </w:t>
      </w:r>
      <w:r>
        <w:rPr>
          <w:w w:val="105"/>
        </w:rPr>
        <w:t>Learnings</w:t>
      </w:r>
      <w:r>
        <w:rPr>
          <w:spacing w:val="-5"/>
          <w:w w:val="105"/>
        </w:rPr>
        <w:t> </w:t>
      </w:r>
      <w:r>
        <w:rPr>
          <w:w w:val="105"/>
        </w:rPr>
        <w:t>Report:</w:t>
      </w:r>
      <w:r>
        <w:rPr>
          <w:spacing w:val="-6"/>
          <w:w w:val="105"/>
        </w:rPr>
        <w:t> </w:t>
      </w:r>
      <w:r>
        <w:rPr>
          <w:w w:val="105"/>
        </w:rPr>
        <w:t>June</w:t>
      </w:r>
      <w:r>
        <w:rPr>
          <w:spacing w:val="-7"/>
          <w:w w:val="105"/>
        </w:rPr>
        <w:t> </w:t>
      </w:r>
      <w:r>
        <w:rPr>
          <w:spacing w:val="-4"/>
          <w:w w:val="105"/>
        </w:rPr>
        <w:t>2022</w:t>
      </w:r>
    </w:p>
    <w:p>
      <w:pPr>
        <w:spacing w:before="41"/>
        <w:ind w:left="1440" w:right="0" w:firstLine="0"/>
        <w:jc w:val="left"/>
        <w:rPr>
          <w:b/>
          <w:sz w:val="22"/>
        </w:rPr>
      </w:pPr>
      <w:hyperlink r:id="rId21">
        <w:r>
          <w:rPr>
            <w:b/>
            <w:color w:val="333366"/>
            <w:sz w:val="22"/>
            <w:u w:val="single" w:color="333366"/>
          </w:rPr>
          <w:t>https://www.mcwh.com.au/wp-content/uploads/Making-the-Links-Report-</w:t>
        </w:r>
        <w:r>
          <w:rPr>
            <w:b/>
            <w:color w:val="333366"/>
            <w:spacing w:val="-2"/>
            <w:sz w:val="22"/>
            <w:u w:val="single" w:color="333366"/>
          </w:rPr>
          <w:t>2022.pdf</w:t>
        </w:r>
      </w:hyperlink>
    </w:p>
    <w:p>
      <w:pPr>
        <w:spacing w:line="276" w:lineRule="auto" w:before="161"/>
        <w:ind w:left="1440" w:right="1547" w:firstLine="0"/>
        <w:jc w:val="left"/>
        <w:rPr>
          <w:b/>
          <w:sz w:val="22"/>
        </w:rPr>
      </w:pPr>
      <w:r>
        <w:rPr>
          <w:w w:val="105"/>
          <w:sz w:val="22"/>
        </w:rPr>
        <w:t>Nygaard, C. A. (2022). Economic Policy, Migration and the Australian City. In I. Levin, C. A. Nygaard,</w:t>
      </w:r>
      <w:r>
        <w:rPr>
          <w:spacing w:val="-9"/>
          <w:w w:val="105"/>
          <w:sz w:val="22"/>
        </w:rPr>
        <w:t> </w:t>
      </w:r>
      <w:r>
        <w:rPr>
          <w:w w:val="105"/>
          <w:sz w:val="22"/>
        </w:rPr>
        <w:t>P.</w:t>
      </w:r>
      <w:r>
        <w:rPr>
          <w:spacing w:val="-12"/>
          <w:w w:val="105"/>
          <w:sz w:val="22"/>
        </w:rPr>
        <w:t> </w:t>
      </w:r>
      <w:r>
        <w:rPr>
          <w:w w:val="105"/>
          <w:sz w:val="22"/>
        </w:rPr>
        <w:t>W.</w:t>
      </w:r>
      <w:r>
        <w:rPr>
          <w:spacing w:val="-10"/>
          <w:w w:val="105"/>
          <w:sz w:val="22"/>
        </w:rPr>
        <w:t> </w:t>
      </w:r>
      <w:r>
        <w:rPr>
          <w:w w:val="105"/>
          <w:sz w:val="22"/>
        </w:rPr>
        <w:t>Newton,</w:t>
      </w:r>
      <w:r>
        <w:rPr>
          <w:spacing w:val="-9"/>
          <w:w w:val="105"/>
          <w:sz w:val="22"/>
        </w:rPr>
        <w:t> </w:t>
      </w:r>
      <w:r>
        <w:rPr>
          <w:w w:val="105"/>
          <w:sz w:val="22"/>
        </w:rPr>
        <w:t>&amp;</w:t>
      </w:r>
      <w:r>
        <w:rPr>
          <w:spacing w:val="-12"/>
          <w:w w:val="105"/>
          <w:sz w:val="22"/>
        </w:rPr>
        <w:t> </w:t>
      </w:r>
      <w:r>
        <w:rPr>
          <w:w w:val="105"/>
          <w:sz w:val="22"/>
        </w:rPr>
        <w:t>S.</w:t>
      </w:r>
      <w:r>
        <w:rPr>
          <w:spacing w:val="-10"/>
          <w:w w:val="105"/>
          <w:sz w:val="22"/>
        </w:rPr>
        <w:t> </w:t>
      </w:r>
      <w:r>
        <w:rPr>
          <w:w w:val="105"/>
          <w:sz w:val="22"/>
        </w:rPr>
        <w:t>M.</w:t>
      </w:r>
      <w:r>
        <w:rPr>
          <w:spacing w:val="-12"/>
          <w:w w:val="105"/>
          <w:sz w:val="22"/>
        </w:rPr>
        <w:t> </w:t>
      </w:r>
      <w:r>
        <w:rPr>
          <w:w w:val="105"/>
          <w:sz w:val="22"/>
        </w:rPr>
        <w:t>Gifford</w:t>
      </w:r>
      <w:r>
        <w:rPr>
          <w:spacing w:val="-8"/>
          <w:w w:val="105"/>
          <w:sz w:val="22"/>
        </w:rPr>
        <w:t> </w:t>
      </w:r>
      <w:r>
        <w:rPr>
          <w:w w:val="105"/>
          <w:sz w:val="22"/>
        </w:rPr>
        <w:t>(Eds.),</w:t>
      </w:r>
      <w:r>
        <w:rPr>
          <w:spacing w:val="-8"/>
          <w:w w:val="105"/>
          <w:sz w:val="22"/>
        </w:rPr>
        <w:t> </w:t>
      </w:r>
      <w:r>
        <w:rPr>
          <w:i/>
          <w:w w:val="105"/>
          <w:sz w:val="22"/>
        </w:rPr>
        <w:t>Migration</w:t>
      </w:r>
      <w:r>
        <w:rPr>
          <w:i/>
          <w:spacing w:val="-10"/>
          <w:w w:val="105"/>
          <w:sz w:val="22"/>
        </w:rPr>
        <w:t> </w:t>
      </w:r>
      <w:r>
        <w:rPr>
          <w:i/>
          <w:w w:val="105"/>
          <w:sz w:val="22"/>
        </w:rPr>
        <w:t>and</w:t>
      </w:r>
      <w:r>
        <w:rPr>
          <w:i/>
          <w:spacing w:val="-10"/>
          <w:w w:val="105"/>
          <w:sz w:val="22"/>
        </w:rPr>
        <w:t> </w:t>
      </w:r>
      <w:r>
        <w:rPr>
          <w:i/>
          <w:w w:val="105"/>
          <w:sz w:val="22"/>
        </w:rPr>
        <w:t>Urban</w:t>
      </w:r>
      <w:r>
        <w:rPr>
          <w:i/>
          <w:spacing w:val="-10"/>
          <w:w w:val="105"/>
          <w:sz w:val="22"/>
        </w:rPr>
        <w:t> </w:t>
      </w:r>
      <w:r>
        <w:rPr>
          <w:i/>
          <w:w w:val="105"/>
          <w:sz w:val="22"/>
        </w:rPr>
        <w:t>Transitions</w:t>
      </w:r>
      <w:r>
        <w:rPr>
          <w:i/>
          <w:spacing w:val="-8"/>
          <w:w w:val="105"/>
          <w:sz w:val="22"/>
        </w:rPr>
        <w:t> </w:t>
      </w:r>
      <w:r>
        <w:rPr>
          <w:i/>
          <w:w w:val="105"/>
          <w:sz w:val="22"/>
        </w:rPr>
        <w:t>in</w:t>
      </w:r>
      <w:r>
        <w:rPr>
          <w:i/>
          <w:spacing w:val="-11"/>
          <w:w w:val="105"/>
          <w:sz w:val="22"/>
        </w:rPr>
        <w:t> </w:t>
      </w:r>
      <w:r>
        <w:rPr>
          <w:i/>
          <w:w w:val="105"/>
          <w:sz w:val="22"/>
        </w:rPr>
        <w:t>Australia</w:t>
      </w:r>
      <w:r>
        <w:rPr>
          <w:i/>
          <w:spacing w:val="-6"/>
          <w:w w:val="105"/>
          <w:sz w:val="22"/>
        </w:rPr>
        <w:t> </w:t>
      </w:r>
      <w:r>
        <w:rPr>
          <w:w w:val="105"/>
          <w:sz w:val="22"/>
        </w:rPr>
        <w:t>(pp. 45–65). Springer International Publishing. </w:t>
      </w:r>
      <w:hyperlink r:id="rId22">
        <w:r>
          <w:rPr>
            <w:b/>
            <w:color w:val="333366"/>
            <w:w w:val="105"/>
            <w:sz w:val="22"/>
            <w:u w:val="single" w:color="333366"/>
          </w:rPr>
          <w:t>https://doi.org/10.1007/978-3-030-91331-1_3</w:t>
        </w:r>
      </w:hyperlink>
    </w:p>
    <w:p>
      <w:pPr>
        <w:spacing w:line="276" w:lineRule="auto" w:before="120"/>
        <w:ind w:left="1440" w:right="1826" w:firstLine="0"/>
        <w:jc w:val="left"/>
        <w:rPr>
          <w:b/>
          <w:sz w:val="22"/>
        </w:rPr>
      </w:pPr>
      <w:r>
        <w:rPr>
          <w:w w:val="105"/>
          <w:sz w:val="22"/>
        </w:rPr>
        <w:t>OFFICE. (2024). </w:t>
      </w:r>
      <w:r>
        <w:rPr>
          <w:i/>
          <w:w w:val="105"/>
          <w:sz w:val="22"/>
        </w:rPr>
        <w:t>Retain Repair Reinvest Femlington Estate: Feasibility Study and Alternative</w:t>
      </w:r>
      <w:r>
        <w:rPr>
          <w:i/>
          <w:w w:val="105"/>
          <w:sz w:val="22"/>
        </w:rPr>
        <w:t> Design Proposal</w:t>
      </w:r>
      <w:r>
        <w:rPr>
          <w:w w:val="105"/>
          <w:sz w:val="22"/>
        </w:rPr>
        <w:t>. </w:t>
      </w:r>
      <w:hyperlink r:id="rId23">
        <w:r>
          <w:rPr>
            <w:b/>
            <w:color w:val="333366"/>
            <w:w w:val="105"/>
            <w:sz w:val="22"/>
            <w:u w:val="single" w:color="333366"/>
          </w:rPr>
          <w:t>https://office.org.au/api/wp-content/uploads/2024/10/Retain-Repair-</w:t>
        </w:r>
      </w:hyperlink>
      <w:r>
        <w:rPr>
          <w:b/>
          <w:color w:val="333366"/>
          <w:w w:val="105"/>
          <w:sz w:val="22"/>
          <w:u w:val="none"/>
        </w:rPr>
        <w:t> </w:t>
      </w:r>
      <w:hyperlink r:id="rId23">
        <w:r>
          <w:rPr>
            <w:b/>
            <w:color w:val="333366"/>
            <w:spacing w:val="-2"/>
            <w:w w:val="105"/>
            <w:sz w:val="22"/>
            <w:u w:val="single" w:color="333366"/>
          </w:rPr>
          <w:t>Reinvest-Flemington-Estate_OFFICE_Full-Report.pdf</w:t>
        </w:r>
      </w:hyperlink>
    </w:p>
    <w:p>
      <w:pPr>
        <w:spacing w:line="276" w:lineRule="auto" w:before="120"/>
        <w:ind w:left="1440" w:right="2140" w:firstLine="0"/>
        <w:jc w:val="left"/>
        <w:rPr>
          <w:sz w:val="22"/>
        </w:rPr>
      </w:pPr>
      <w:r>
        <w:rPr>
          <w:w w:val="105"/>
          <w:sz w:val="22"/>
        </w:rPr>
        <w:t>State Government</w:t>
      </w:r>
      <w:r>
        <w:rPr>
          <w:spacing w:val="-2"/>
          <w:w w:val="105"/>
          <w:sz w:val="22"/>
        </w:rPr>
        <w:t> </w:t>
      </w:r>
      <w:r>
        <w:rPr>
          <w:w w:val="105"/>
          <w:sz w:val="22"/>
        </w:rPr>
        <w:t>of</w:t>
      </w:r>
      <w:r>
        <w:rPr>
          <w:spacing w:val="-1"/>
          <w:w w:val="105"/>
          <w:sz w:val="22"/>
        </w:rPr>
        <w:t> </w:t>
      </w:r>
      <w:r>
        <w:rPr>
          <w:w w:val="105"/>
          <w:sz w:val="22"/>
        </w:rPr>
        <w:t>Victoria.</w:t>
      </w:r>
      <w:r>
        <w:rPr>
          <w:spacing w:val="-2"/>
          <w:w w:val="105"/>
          <w:sz w:val="22"/>
        </w:rPr>
        <w:t> </w:t>
      </w:r>
      <w:r>
        <w:rPr>
          <w:w w:val="105"/>
          <w:sz w:val="22"/>
        </w:rPr>
        <w:t>“Social Housing</w:t>
      </w:r>
      <w:r>
        <w:rPr>
          <w:spacing w:val="-1"/>
          <w:w w:val="105"/>
          <w:sz w:val="22"/>
        </w:rPr>
        <w:t> </w:t>
      </w:r>
      <w:r>
        <w:rPr>
          <w:w w:val="105"/>
          <w:sz w:val="22"/>
        </w:rPr>
        <w:t>Regulation Review.” Interim</w:t>
      </w:r>
      <w:r>
        <w:rPr>
          <w:spacing w:val="-1"/>
          <w:w w:val="105"/>
          <w:sz w:val="22"/>
        </w:rPr>
        <w:t> </w:t>
      </w:r>
      <w:r>
        <w:rPr>
          <w:w w:val="105"/>
          <w:sz w:val="22"/>
        </w:rPr>
        <w:t>Report.</w:t>
      </w:r>
      <w:r>
        <w:rPr>
          <w:spacing w:val="-3"/>
          <w:w w:val="105"/>
          <w:sz w:val="22"/>
        </w:rPr>
        <w:t> </w:t>
      </w:r>
      <w:r>
        <w:rPr>
          <w:w w:val="105"/>
          <w:sz w:val="22"/>
        </w:rPr>
        <w:t>State Government of Victoria, 2021. </w:t>
      </w:r>
      <w:hyperlink r:id="rId24">
        <w:r>
          <w:rPr>
            <w:b/>
            <w:color w:val="333366"/>
            <w:w w:val="105"/>
            <w:sz w:val="22"/>
            <w:u w:val="single" w:color="333366"/>
          </w:rPr>
          <w:t>https://www.dtf.vic.gov.au/sites/default/files/2024-</w:t>
        </w:r>
      </w:hyperlink>
      <w:r>
        <w:rPr>
          <w:b/>
          <w:color w:val="333366"/>
          <w:w w:val="105"/>
          <w:sz w:val="22"/>
          <w:u w:val="none"/>
        </w:rPr>
        <w:t> </w:t>
      </w:r>
      <w:hyperlink r:id="rId24">
        <w:r>
          <w:rPr>
            <w:b/>
            <w:color w:val="333366"/>
            <w:spacing w:val="-2"/>
            <w:w w:val="105"/>
            <w:sz w:val="22"/>
            <w:u w:val="single" w:color="333366"/>
          </w:rPr>
          <w:t>12/Social-Housing-Regulation-Review-Interim-Report.pdf</w:t>
        </w:r>
      </w:hyperlink>
      <w:r>
        <w:rPr>
          <w:spacing w:val="-2"/>
          <w:w w:val="105"/>
          <w:sz w:val="22"/>
          <w:u w:val="none"/>
        </w:rPr>
        <w:t>.</w:t>
      </w:r>
    </w:p>
    <w:p>
      <w:pPr>
        <w:spacing w:line="276" w:lineRule="auto" w:before="121"/>
        <w:ind w:left="1440" w:right="1893" w:firstLine="0"/>
        <w:jc w:val="left"/>
        <w:rPr>
          <w:b/>
          <w:sz w:val="22"/>
        </w:rPr>
      </w:pPr>
      <w:r>
        <w:rPr>
          <w:spacing w:val="-2"/>
          <w:w w:val="110"/>
          <w:sz w:val="22"/>
        </w:rPr>
        <w:t>Tran,</w:t>
      </w:r>
      <w:r>
        <w:rPr>
          <w:spacing w:val="-9"/>
          <w:w w:val="110"/>
          <w:sz w:val="22"/>
        </w:rPr>
        <w:t> </w:t>
      </w:r>
      <w:r>
        <w:rPr>
          <w:spacing w:val="-2"/>
          <w:w w:val="110"/>
          <w:sz w:val="22"/>
        </w:rPr>
        <w:t>G.,</w:t>
      </w:r>
      <w:r>
        <w:rPr>
          <w:spacing w:val="-9"/>
          <w:w w:val="110"/>
          <w:sz w:val="22"/>
        </w:rPr>
        <w:t> </w:t>
      </w:r>
      <w:r>
        <w:rPr>
          <w:spacing w:val="-2"/>
          <w:w w:val="110"/>
          <w:sz w:val="22"/>
        </w:rPr>
        <w:t>Ansari,</w:t>
      </w:r>
      <w:r>
        <w:rPr>
          <w:spacing w:val="-9"/>
          <w:w w:val="110"/>
          <w:sz w:val="22"/>
        </w:rPr>
        <w:t> </w:t>
      </w:r>
      <w:r>
        <w:rPr>
          <w:spacing w:val="-2"/>
          <w:w w:val="110"/>
          <w:sz w:val="22"/>
        </w:rPr>
        <w:t>D.,</w:t>
      </w:r>
      <w:r>
        <w:rPr>
          <w:spacing w:val="-12"/>
          <w:w w:val="110"/>
          <w:sz w:val="22"/>
        </w:rPr>
        <w:t> </w:t>
      </w:r>
      <w:r>
        <w:rPr>
          <w:spacing w:val="-2"/>
          <w:w w:val="110"/>
          <w:sz w:val="22"/>
        </w:rPr>
        <w:t>Labra-Odde,</w:t>
      </w:r>
      <w:r>
        <w:rPr>
          <w:spacing w:val="-9"/>
          <w:w w:val="110"/>
          <w:sz w:val="22"/>
        </w:rPr>
        <w:t> </w:t>
      </w:r>
      <w:r>
        <w:rPr>
          <w:spacing w:val="-2"/>
          <w:w w:val="110"/>
          <w:sz w:val="22"/>
        </w:rPr>
        <w:t>C.,</w:t>
      </w:r>
      <w:r>
        <w:rPr>
          <w:spacing w:val="-9"/>
          <w:w w:val="110"/>
          <w:sz w:val="22"/>
        </w:rPr>
        <w:t> </w:t>
      </w:r>
      <w:r>
        <w:rPr>
          <w:spacing w:val="-2"/>
          <w:w w:val="110"/>
          <w:sz w:val="22"/>
        </w:rPr>
        <w:t>&amp;</w:t>
      </w:r>
      <w:r>
        <w:rPr>
          <w:spacing w:val="-12"/>
          <w:w w:val="110"/>
          <w:sz w:val="22"/>
        </w:rPr>
        <w:t> </w:t>
      </w:r>
      <w:r>
        <w:rPr>
          <w:spacing w:val="-2"/>
          <w:w w:val="110"/>
          <w:sz w:val="22"/>
        </w:rPr>
        <w:t>Tong,</w:t>
      </w:r>
      <w:r>
        <w:rPr>
          <w:spacing w:val="-12"/>
          <w:w w:val="110"/>
          <w:sz w:val="22"/>
        </w:rPr>
        <w:t> </w:t>
      </w:r>
      <w:r>
        <w:rPr>
          <w:spacing w:val="-2"/>
          <w:w w:val="110"/>
          <w:sz w:val="22"/>
        </w:rPr>
        <w:t>A.</w:t>
      </w:r>
      <w:r>
        <w:rPr>
          <w:spacing w:val="-10"/>
          <w:w w:val="110"/>
          <w:sz w:val="22"/>
        </w:rPr>
        <w:t> </w:t>
      </w:r>
      <w:r>
        <w:rPr>
          <w:spacing w:val="-2"/>
          <w:w w:val="110"/>
          <w:sz w:val="22"/>
        </w:rPr>
        <w:t>(2023).</w:t>
      </w:r>
      <w:r>
        <w:rPr>
          <w:spacing w:val="-8"/>
          <w:w w:val="110"/>
          <w:sz w:val="22"/>
        </w:rPr>
        <w:t> </w:t>
      </w:r>
      <w:r>
        <w:rPr>
          <w:i/>
          <w:spacing w:val="-2"/>
          <w:w w:val="110"/>
          <w:sz w:val="22"/>
        </w:rPr>
        <w:t>Building</w:t>
      </w:r>
      <w:r>
        <w:rPr>
          <w:i/>
          <w:spacing w:val="-10"/>
          <w:w w:val="110"/>
          <w:sz w:val="22"/>
        </w:rPr>
        <w:t> </w:t>
      </w:r>
      <w:r>
        <w:rPr>
          <w:i/>
          <w:spacing w:val="-2"/>
          <w:w w:val="110"/>
          <w:sz w:val="22"/>
        </w:rPr>
        <w:t>Bridges</w:t>
      </w:r>
      <w:r>
        <w:rPr>
          <w:i/>
          <w:spacing w:val="-7"/>
          <w:w w:val="110"/>
          <w:sz w:val="22"/>
        </w:rPr>
        <w:t> </w:t>
      </w:r>
      <w:r>
        <w:rPr>
          <w:i/>
          <w:spacing w:val="-2"/>
          <w:w w:val="110"/>
          <w:sz w:val="22"/>
        </w:rPr>
        <w:t>Promoting</w:t>
      </w:r>
      <w:r>
        <w:rPr>
          <w:i/>
          <w:spacing w:val="-8"/>
          <w:w w:val="110"/>
          <w:sz w:val="22"/>
        </w:rPr>
        <w:t> </w:t>
      </w:r>
      <w:r>
        <w:rPr>
          <w:i/>
          <w:spacing w:val="-2"/>
          <w:w w:val="110"/>
          <w:sz w:val="22"/>
        </w:rPr>
        <w:t>Mental</w:t>
      </w:r>
      <w:r>
        <w:rPr>
          <w:i/>
          <w:spacing w:val="-2"/>
          <w:w w:val="110"/>
          <w:sz w:val="22"/>
        </w:rPr>
        <w:t> </w:t>
      </w:r>
      <w:r>
        <w:rPr>
          <w:i/>
          <w:sz w:val="22"/>
        </w:rPr>
        <w:t>Health and Wellbeing for Migrant and Refugee Women</w:t>
      </w:r>
      <w:r>
        <w:rPr>
          <w:sz w:val="22"/>
        </w:rPr>
        <w:t>. Multicultural Centre for Women’s</w:t>
      </w:r>
      <w:r>
        <w:rPr>
          <w:spacing w:val="80"/>
          <w:sz w:val="22"/>
        </w:rPr>
        <w:t> </w:t>
      </w:r>
      <w:r>
        <w:rPr>
          <w:sz w:val="22"/>
        </w:rPr>
        <w:t>Health.</w:t>
      </w:r>
      <w:r>
        <w:rPr>
          <w:spacing w:val="66"/>
          <w:sz w:val="22"/>
        </w:rPr>
        <w:t>   </w:t>
      </w:r>
      <w:hyperlink r:id="rId25">
        <w:r>
          <w:rPr>
            <w:b/>
            <w:color w:val="333366"/>
            <w:sz w:val="22"/>
            <w:u w:val="single" w:color="333366"/>
          </w:rPr>
          <w:t>https://www.mcwh.com.au/wp-content/uploads/Building-Bridges-Promoting-</w:t>
        </w:r>
      </w:hyperlink>
      <w:r>
        <w:rPr>
          <w:b/>
          <w:color w:val="333366"/>
          <w:spacing w:val="80"/>
          <w:w w:val="150"/>
          <w:sz w:val="22"/>
          <w:u w:val="none"/>
        </w:rPr>
        <w:t> </w:t>
      </w:r>
      <w:hyperlink r:id="rId25">
        <w:r>
          <w:rPr>
            <w:b/>
            <w:color w:val="333366"/>
            <w:spacing w:val="-2"/>
            <w:w w:val="110"/>
            <w:sz w:val="22"/>
            <w:u w:val="single" w:color="333366"/>
          </w:rPr>
          <w:t>Mental-Health-and-Wellbeing-for-Migrant-and-Refugee-Women_Report_FINAL.pdf</w:t>
        </w:r>
      </w:hyperlink>
    </w:p>
    <w:p>
      <w:pPr>
        <w:spacing w:after="0" w:line="276" w:lineRule="auto"/>
        <w:jc w:val="left"/>
        <w:rPr>
          <w:b/>
          <w:sz w:val="22"/>
        </w:rPr>
        <w:sectPr>
          <w:pgSz w:w="11910" w:h="16840"/>
          <w:pgMar w:header="0" w:footer="891" w:top="1340" w:bottom="1080" w:left="0" w:right="0"/>
        </w:sectPr>
      </w:pPr>
    </w:p>
    <w:p>
      <w:pPr>
        <w:pStyle w:val="BodyText"/>
        <w:spacing w:line="276" w:lineRule="auto" w:before="78"/>
        <w:ind w:right="1483"/>
      </w:pPr>
      <w:r>
        <w:rPr>
          <w:w w:val="105"/>
        </w:rPr>
        <w:t>Vaughan,</w:t>
      </w:r>
      <w:r>
        <w:rPr>
          <w:spacing w:val="-1"/>
          <w:w w:val="105"/>
        </w:rPr>
        <w:t> </w:t>
      </w:r>
      <w:r>
        <w:rPr>
          <w:w w:val="105"/>
        </w:rPr>
        <w:t>C., Davis,</w:t>
      </w:r>
      <w:r>
        <w:rPr>
          <w:spacing w:val="-1"/>
          <w:w w:val="105"/>
        </w:rPr>
        <w:t> </w:t>
      </w:r>
      <w:r>
        <w:rPr>
          <w:w w:val="105"/>
        </w:rPr>
        <w:t>E., Murdolo, A., Chen, J., Murray, L., Quiazon, R.,</w:t>
      </w:r>
      <w:r>
        <w:rPr>
          <w:spacing w:val="-1"/>
          <w:w w:val="105"/>
        </w:rPr>
        <w:t> </w:t>
      </w:r>
      <w:r>
        <w:rPr>
          <w:w w:val="105"/>
        </w:rPr>
        <w:t>Block,K. &amp; Warr, D. (2016). ‘Promoting community-led responses to violence against immigrant and refugee women in metropolitan and regional Australia.’ </w:t>
      </w:r>
      <w:r>
        <w:rPr>
          <w:i/>
          <w:w w:val="105"/>
        </w:rPr>
        <w:t>The ASPIRE Project: Research report</w:t>
      </w:r>
      <w:r>
        <w:rPr>
          <w:w w:val="105"/>
        </w:rPr>
        <w:t>, (ANROWS Horizons 07/2016). Sydney: Australia’s National Research Organisation for Women’s Safety.</w:t>
      </w:r>
    </w:p>
    <w:p>
      <w:pPr>
        <w:spacing w:line="276" w:lineRule="auto" w:before="121"/>
        <w:ind w:left="1440" w:right="1857" w:firstLine="0"/>
        <w:jc w:val="left"/>
        <w:rPr>
          <w:b/>
          <w:sz w:val="22"/>
        </w:rPr>
      </w:pPr>
      <w:r>
        <w:rPr>
          <w:w w:val="110"/>
          <w:sz w:val="22"/>
        </w:rPr>
        <w:t>VicHealth.</w:t>
      </w:r>
      <w:r>
        <w:rPr>
          <w:spacing w:val="-14"/>
          <w:w w:val="110"/>
          <w:sz w:val="22"/>
        </w:rPr>
        <w:t> </w:t>
      </w:r>
      <w:r>
        <w:rPr>
          <w:w w:val="110"/>
          <w:sz w:val="22"/>
        </w:rPr>
        <w:t>(2011).</w:t>
      </w:r>
      <w:r>
        <w:rPr>
          <w:spacing w:val="-10"/>
          <w:w w:val="110"/>
          <w:sz w:val="22"/>
        </w:rPr>
        <w:t> </w:t>
      </w:r>
      <w:r>
        <w:rPr>
          <w:i/>
          <w:w w:val="110"/>
          <w:sz w:val="22"/>
        </w:rPr>
        <w:t>Housing</w:t>
      </w:r>
      <w:r>
        <w:rPr>
          <w:i/>
          <w:spacing w:val="-10"/>
          <w:w w:val="110"/>
          <w:sz w:val="22"/>
        </w:rPr>
        <w:t> </w:t>
      </w:r>
      <w:r>
        <w:rPr>
          <w:i/>
          <w:w w:val="110"/>
          <w:sz w:val="22"/>
        </w:rPr>
        <w:t>and</w:t>
      </w:r>
      <w:r>
        <w:rPr>
          <w:i/>
          <w:spacing w:val="-12"/>
          <w:w w:val="110"/>
          <w:sz w:val="22"/>
        </w:rPr>
        <w:t> </w:t>
      </w:r>
      <w:r>
        <w:rPr>
          <w:i/>
          <w:w w:val="110"/>
          <w:sz w:val="22"/>
        </w:rPr>
        <w:t>Health</w:t>
      </w:r>
      <w:r>
        <w:rPr>
          <w:i/>
          <w:spacing w:val="-12"/>
          <w:w w:val="110"/>
          <w:sz w:val="22"/>
        </w:rPr>
        <w:t> </w:t>
      </w:r>
      <w:r>
        <w:rPr>
          <w:i/>
          <w:w w:val="110"/>
          <w:sz w:val="22"/>
        </w:rPr>
        <w:t>Research</w:t>
      </w:r>
      <w:r>
        <w:rPr>
          <w:i/>
          <w:spacing w:val="-12"/>
          <w:w w:val="110"/>
          <w:sz w:val="22"/>
        </w:rPr>
        <w:t> </w:t>
      </w:r>
      <w:r>
        <w:rPr>
          <w:i/>
          <w:w w:val="110"/>
          <w:sz w:val="22"/>
        </w:rPr>
        <w:t>Summary:</w:t>
      </w:r>
      <w:r>
        <w:rPr>
          <w:i/>
          <w:spacing w:val="-12"/>
          <w:w w:val="110"/>
          <w:sz w:val="22"/>
        </w:rPr>
        <w:t> </w:t>
      </w:r>
      <w:r>
        <w:rPr>
          <w:i/>
          <w:w w:val="110"/>
          <w:sz w:val="22"/>
        </w:rPr>
        <w:t>Addressing</w:t>
      </w:r>
      <w:r>
        <w:rPr>
          <w:i/>
          <w:spacing w:val="-10"/>
          <w:w w:val="110"/>
          <w:sz w:val="22"/>
        </w:rPr>
        <w:t> </w:t>
      </w:r>
      <w:r>
        <w:rPr>
          <w:i/>
          <w:w w:val="110"/>
          <w:sz w:val="22"/>
        </w:rPr>
        <w:t>the</w:t>
      </w:r>
      <w:r>
        <w:rPr>
          <w:i/>
          <w:spacing w:val="-13"/>
          <w:w w:val="110"/>
          <w:sz w:val="22"/>
        </w:rPr>
        <w:t> </w:t>
      </w:r>
      <w:r>
        <w:rPr>
          <w:i/>
          <w:w w:val="110"/>
          <w:sz w:val="22"/>
        </w:rPr>
        <w:t>social</w:t>
      </w:r>
      <w:r>
        <w:rPr>
          <w:i/>
          <w:spacing w:val="-13"/>
          <w:w w:val="110"/>
          <w:sz w:val="22"/>
        </w:rPr>
        <w:t> </w:t>
      </w:r>
      <w:r>
        <w:rPr>
          <w:i/>
          <w:w w:val="110"/>
          <w:sz w:val="22"/>
        </w:rPr>
        <w:t>and</w:t>
      </w:r>
      <w:r>
        <w:rPr>
          <w:i/>
          <w:w w:val="110"/>
          <w:sz w:val="22"/>
        </w:rPr>
        <w:t> economic</w:t>
      </w:r>
      <w:r>
        <w:rPr>
          <w:i/>
          <w:spacing w:val="-7"/>
          <w:w w:val="110"/>
          <w:sz w:val="22"/>
        </w:rPr>
        <w:t> </w:t>
      </w:r>
      <w:r>
        <w:rPr>
          <w:i/>
          <w:w w:val="110"/>
          <w:sz w:val="22"/>
        </w:rPr>
        <w:t>determinants</w:t>
      </w:r>
      <w:r>
        <w:rPr>
          <w:i/>
          <w:spacing w:val="-6"/>
          <w:w w:val="110"/>
          <w:sz w:val="22"/>
        </w:rPr>
        <w:t> </w:t>
      </w:r>
      <w:r>
        <w:rPr>
          <w:i/>
          <w:w w:val="110"/>
          <w:sz w:val="22"/>
        </w:rPr>
        <w:t>of</w:t>
      </w:r>
      <w:r>
        <w:rPr>
          <w:i/>
          <w:spacing w:val="-6"/>
          <w:w w:val="110"/>
          <w:sz w:val="22"/>
        </w:rPr>
        <w:t> </w:t>
      </w:r>
      <w:r>
        <w:rPr>
          <w:i/>
          <w:w w:val="110"/>
          <w:sz w:val="22"/>
        </w:rPr>
        <w:t>mental</w:t>
      </w:r>
      <w:r>
        <w:rPr>
          <w:i/>
          <w:spacing w:val="-6"/>
          <w:w w:val="110"/>
          <w:sz w:val="22"/>
        </w:rPr>
        <w:t> </w:t>
      </w:r>
      <w:r>
        <w:rPr>
          <w:i/>
          <w:w w:val="110"/>
          <w:sz w:val="22"/>
        </w:rPr>
        <w:t>and</w:t>
      </w:r>
      <w:r>
        <w:rPr>
          <w:i/>
          <w:spacing w:val="-6"/>
          <w:w w:val="110"/>
          <w:sz w:val="22"/>
        </w:rPr>
        <w:t> </w:t>
      </w:r>
      <w:r>
        <w:rPr>
          <w:i/>
          <w:w w:val="110"/>
          <w:sz w:val="22"/>
        </w:rPr>
        <w:t>physical</w:t>
      </w:r>
      <w:r>
        <w:rPr>
          <w:i/>
          <w:spacing w:val="-7"/>
          <w:w w:val="110"/>
          <w:sz w:val="22"/>
        </w:rPr>
        <w:t> </w:t>
      </w:r>
      <w:r>
        <w:rPr>
          <w:i/>
          <w:w w:val="110"/>
          <w:sz w:val="22"/>
        </w:rPr>
        <w:t>health</w:t>
      </w:r>
      <w:r>
        <w:rPr>
          <w:w w:val="110"/>
          <w:sz w:val="22"/>
        </w:rPr>
        <w:t>.</w:t>
      </w:r>
      <w:r>
        <w:rPr>
          <w:spacing w:val="-5"/>
          <w:w w:val="110"/>
          <w:sz w:val="22"/>
        </w:rPr>
        <w:t> </w:t>
      </w:r>
      <w:r>
        <w:rPr>
          <w:w w:val="110"/>
          <w:sz w:val="22"/>
        </w:rPr>
        <w:t>VicHealth. </w:t>
      </w:r>
      <w:hyperlink r:id="rId26">
        <w:r>
          <w:rPr>
            <w:b/>
            <w:color w:val="333366"/>
            <w:spacing w:val="-2"/>
            <w:sz w:val="22"/>
            <w:u w:val="single" w:color="333366"/>
          </w:rPr>
          <w:t>https://www.vichealth.vic.gov.au/sites/default/files/Housing_and-_Health_Research-</w:t>
        </w:r>
      </w:hyperlink>
      <w:r>
        <w:rPr>
          <w:b/>
          <w:color w:val="333366"/>
          <w:spacing w:val="80"/>
          <w:w w:val="110"/>
          <w:sz w:val="22"/>
          <w:u w:val="none"/>
        </w:rPr>
        <w:t>     </w:t>
      </w:r>
      <w:hyperlink r:id="rId26">
        <w:r>
          <w:rPr>
            <w:b/>
            <w:color w:val="333366"/>
            <w:spacing w:val="-2"/>
            <w:w w:val="110"/>
            <w:sz w:val="22"/>
            <w:u w:val="single" w:color="333366"/>
          </w:rPr>
          <w:t>Summary_web.pdf</w:t>
        </w:r>
      </w:hyperlink>
    </w:p>
    <w:p>
      <w:pPr>
        <w:spacing w:line="276" w:lineRule="auto" w:before="119"/>
        <w:ind w:left="1440" w:right="1690" w:firstLine="0"/>
        <w:jc w:val="left"/>
        <w:rPr>
          <w:b/>
          <w:sz w:val="22"/>
        </w:rPr>
      </w:pPr>
      <w:r>
        <w:rPr>
          <w:w w:val="105"/>
          <w:sz w:val="22"/>
        </w:rPr>
        <w:t>Yussuf,</w:t>
      </w:r>
      <w:r>
        <w:rPr>
          <w:spacing w:val="-7"/>
          <w:w w:val="105"/>
          <w:sz w:val="22"/>
        </w:rPr>
        <w:t> </w:t>
      </w:r>
      <w:r>
        <w:rPr>
          <w:w w:val="105"/>
          <w:sz w:val="22"/>
        </w:rPr>
        <w:t>A.</w:t>
      </w:r>
      <w:r>
        <w:rPr>
          <w:spacing w:val="-4"/>
          <w:w w:val="105"/>
          <w:sz w:val="22"/>
        </w:rPr>
        <w:t> </w:t>
      </w:r>
      <w:r>
        <w:rPr>
          <w:w w:val="105"/>
          <w:sz w:val="22"/>
        </w:rPr>
        <w:t>(2021,</w:t>
      </w:r>
      <w:r>
        <w:rPr>
          <w:spacing w:val="-4"/>
          <w:w w:val="105"/>
          <w:sz w:val="22"/>
        </w:rPr>
        <w:t> </w:t>
      </w:r>
      <w:r>
        <w:rPr>
          <w:w w:val="105"/>
          <w:sz w:val="22"/>
        </w:rPr>
        <w:t>July</w:t>
      </w:r>
      <w:r>
        <w:rPr>
          <w:spacing w:val="-4"/>
          <w:w w:val="105"/>
          <w:sz w:val="22"/>
        </w:rPr>
        <w:t> </w:t>
      </w:r>
      <w:r>
        <w:rPr>
          <w:w w:val="105"/>
          <w:sz w:val="22"/>
        </w:rPr>
        <w:t>3).</w:t>
      </w:r>
      <w:r>
        <w:rPr>
          <w:spacing w:val="-7"/>
          <w:w w:val="105"/>
          <w:sz w:val="22"/>
        </w:rPr>
        <w:t> </w:t>
      </w:r>
      <w:r>
        <w:rPr>
          <w:w w:val="105"/>
          <w:sz w:val="22"/>
        </w:rPr>
        <w:t>“I</w:t>
      </w:r>
      <w:r>
        <w:rPr>
          <w:spacing w:val="-3"/>
          <w:w w:val="105"/>
          <w:sz w:val="22"/>
        </w:rPr>
        <w:t> </w:t>
      </w:r>
      <w:r>
        <w:rPr>
          <w:w w:val="105"/>
          <w:sz w:val="22"/>
        </w:rPr>
        <w:t>regret</w:t>
      </w:r>
      <w:r>
        <w:rPr>
          <w:spacing w:val="-6"/>
          <w:w w:val="105"/>
          <w:sz w:val="22"/>
        </w:rPr>
        <w:t> </w:t>
      </w:r>
      <w:r>
        <w:rPr>
          <w:w w:val="105"/>
          <w:sz w:val="22"/>
        </w:rPr>
        <w:t>moving</w:t>
      </w:r>
      <w:r>
        <w:rPr>
          <w:spacing w:val="-4"/>
          <w:w w:val="105"/>
          <w:sz w:val="22"/>
        </w:rPr>
        <w:t> </w:t>
      </w:r>
      <w:r>
        <w:rPr>
          <w:w w:val="105"/>
          <w:sz w:val="22"/>
        </w:rPr>
        <w:t>this</w:t>
      </w:r>
      <w:r>
        <w:rPr>
          <w:spacing w:val="-2"/>
          <w:w w:val="105"/>
          <w:sz w:val="22"/>
        </w:rPr>
        <w:t> </w:t>
      </w:r>
      <w:r>
        <w:rPr>
          <w:w w:val="105"/>
          <w:sz w:val="22"/>
        </w:rPr>
        <w:t>far”:</w:t>
      </w:r>
      <w:r>
        <w:rPr>
          <w:spacing w:val="-3"/>
          <w:w w:val="105"/>
          <w:sz w:val="22"/>
        </w:rPr>
        <w:t> </w:t>
      </w:r>
      <w:r>
        <w:rPr>
          <w:w w:val="105"/>
          <w:sz w:val="22"/>
        </w:rPr>
        <w:t>Public</w:t>
      </w:r>
      <w:r>
        <w:rPr>
          <w:spacing w:val="-3"/>
          <w:w w:val="105"/>
          <w:sz w:val="22"/>
        </w:rPr>
        <w:t> </w:t>
      </w:r>
      <w:r>
        <w:rPr>
          <w:w w:val="105"/>
          <w:sz w:val="22"/>
        </w:rPr>
        <w:t>housing</w:t>
      </w:r>
      <w:r>
        <w:rPr>
          <w:spacing w:val="-4"/>
          <w:w w:val="105"/>
          <w:sz w:val="22"/>
        </w:rPr>
        <w:t> </w:t>
      </w:r>
      <w:r>
        <w:rPr>
          <w:w w:val="105"/>
          <w:sz w:val="22"/>
        </w:rPr>
        <w:t>residents</w:t>
      </w:r>
      <w:r>
        <w:rPr>
          <w:spacing w:val="-4"/>
          <w:w w:val="105"/>
          <w:sz w:val="22"/>
        </w:rPr>
        <w:t> </w:t>
      </w:r>
      <w:r>
        <w:rPr>
          <w:w w:val="105"/>
          <w:sz w:val="22"/>
        </w:rPr>
        <w:t>moved</w:t>
      </w:r>
      <w:r>
        <w:rPr>
          <w:spacing w:val="-4"/>
          <w:w w:val="105"/>
          <w:sz w:val="22"/>
        </w:rPr>
        <w:t> </w:t>
      </w:r>
      <w:r>
        <w:rPr>
          <w:w w:val="105"/>
          <w:sz w:val="22"/>
        </w:rPr>
        <w:t>under</w:t>
      </w:r>
      <w:r>
        <w:rPr>
          <w:spacing w:val="-2"/>
          <w:w w:val="105"/>
          <w:sz w:val="22"/>
        </w:rPr>
        <w:t> </w:t>
      </w:r>
      <w:r>
        <w:rPr>
          <w:w w:val="105"/>
          <w:sz w:val="22"/>
        </w:rPr>
        <w:t>new Victorian program fear uncertainty. </w:t>
      </w:r>
      <w:r>
        <w:rPr>
          <w:i/>
          <w:w w:val="105"/>
          <w:sz w:val="22"/>
        </w:rPr>
        <w:t>ABC News</w:t>
      </w:r>
      <w:r>
        <w:rPr>
          <w:w w:val="105"/>
          <w:sz w:val="22"/>
        </w:rPr>
        <w:t>. </w:t>
      </w:r>
      <w:hyperlink r:id="rId27">
        <w:r>
          <w:rPr>
            <w:b/>
            <w:color w:val="333366"/>
            <w:w w:val="105"/>
            <w:sz w:val="22"/>
            <w:u w:val="single" w:color="333366"/>
          </w:rPr>
          <w:t>https://www.abc.net.au/news/2021-07-</w:t>
        </w:r>
      </w:hyperlink>
      <w:r>
        <w:rPr>
          <w:b/>
          <w:color w:val="333366"/>
          <w:w w:val="105"/>
          <w:sz w:val="22"/>
          <w:u w:val="none"/>
        </w:rPr>
        <w:t> </w:t>
      </w:r>
      <w:hyperlink r:id="rId27">
        <w:r>
          <w:rPr>
            <w:b/>
            <w:color w:val="333366"/>
            <w:spacing w:val="-2"/>
            <w:w w:val="105"/>
            <w:sz w:val="22"/>
            <w:u w:val="single" w:color="333366"/>
          </w:rPr>
          <w:t>04/melbourne-public-housing-residents-moved-under-victorian-program/100265364</w:t>
        </w:r>
      </w:hyperlink>
    </w:p>
    <w:p>
      <w:pPr>
        <w:spacing w:line="276" w:lineRule="auto" w:before="122"/>
        <w:ind w:left="1440" w:right="1572" w:firstLine="0"/>
        <w:jc w:val="left"/>
        <w:rPr>
          <w:b/>
          <w:sz w:val="22"/>
        </w:rPr>
      </w:pPr>
      <w:r>
        <w:rPr>
          <w:color w:val="212121"/>
          <w:spacing w:val="-2"/>
          <w:w w:val="110"/>
          <w:sz w:val="22"/>
        </w:rPr>
        <w:t>Ziersch,</w:t>
      </w:r>
      <w:r>
        <w:rPr>
          <w:color w:val="212121"/>
          <w:spacing w:val="-4"/>
          <w:w w:val="110"/>
          <w:sz w:val="22"/>
        </w:rPr>
        <w:t> </w:t>
      </w:r>
      <w:r>
        <w:rPr>
          <w:color w:val="212121"/>
          <w:spacing w:val="-2"/>
          <w:w w:val="110"/>
          <w:sz w:val="22"/>
        </w:rPr>
        <w:t>A.,</w:t>
      </w:r>
      <w:r>
        <w:rPr>
          <w:color w:val="212121"/>
          <w:spacing w:val="-4"/>
          <w:w w:val="110"/>
          <w:sz w:val="22"/>
        </w:rPr>
        <w:t> </w:t>
      </w:r>
      <w:r>
        <w:rPr>
          <w:color w:val="212121"/>
          <w:spacing w:val="-2"/>
          <w:w w:val="110"/>
          <w:sz w:val="22"/>
        </w:rPr>
        <w:t>Due,</w:t>
      </w:r>
      <w:r>
        <w:rPr>
          <w:color w:val="212121"/>
          <w:spacing w:val="-8"/>
          <w:w w:val="110"/>
          <w:sz w:val="22"/>
        </w:rPr>
        <w:t> </w:t>
      </w:r>
      <w:r>
        <w:rPr>
          <w:color w:val="212121"/>
          <w:spacing w:val="-2"/>
          <w:w w:val="110"/>
          <w:sz w:val="22"/>
        </w:rPr>
        <w:t>C.,</w:t>
      </w:r>
      <w:r>
        <w:rPr>
          <w:color w:val="212121"/>
          <w:spacing w:val="-4"/>
          <w:w w:val="110"/>
          <w:sz w:val="22"/>
        </w:rPr>
        <w:t> </w:t>
      </w:r>
      <w:r>
        <w:rPr>
          <w:color w:val="212121"/>
          <w:spacing w:val="-2"/>
          <w:w w:val="110"/>
          <w:sz w:val="22"/>
        </w:rPr>
        <w:t>&amp;</w:t>
      </w:r>
      <w:r>
        <w:rPr>
          <w:color w:val="212121"/>
          <w:spacing w:val="-8"/>
          <w:w w:val="110"/>
          <w:sz w:val="22"/>
        </w:rPr>
        <w:t> </w:t>
      </w:r>
      <w:r>
        <w:rPr>
          <w:color w:val="212121"/>
          <w:spacing w:val="-2"/>
          <w:w w:val="110"/>
          <w:sz w:val="22"/>
        </w:rPr>
        <w:t>Walsh,</w:t>
      </w:r>
      <w:r>
        <w:rPr>
          <w:color w:val="212121"/>
          <w:spacing w:val="-8"/>
          <w:w w:val="110"/>
          <w:sz w:val="22"/>
        </w:rPr>
        <w:t> </w:t>
      </w:r>
      <w:r>
        <w:rPr>
          <w:color w:val="212121"/>
          <w:spacing w:val="-2"/>
          <w:w w:val="110"/>
          <w:sz w:val="22"/>
        </w:rPr>
        <w:t>M.</w:t>
      </w:r>
      <w:r>
        <w:rPr>
          <w:color w:val="212121"/>
          <w:spacing w:val="-4"/>
          <w:w w:val="110"/>
          <w:sz w:val="22"/>
        </w:rPr>
        <w:t> </w:t>
      </w:r>
      <w:r>
        <w:rPr>
          <w:color w:val="212121"/>
          <w:spacing w:val="-2"/>
          <w:w w:val="110"/>
          <w:sz w:val="22"/>
        </w:rPr>
        <w:t>(2020).</w:t>
      </w:r>
      <w:r>
        <w:rPr>
          <w:color w:val="212121"/>
          <w:spacing w:val="-8"/>
          <w:w w:val="110"/>
          <w:sz w:val="22"/>
        </w:rPr>
        <w:t> </w:t>
      </w:r>
      <w:r>
        <w:rPr>
          <w:color w:val="212121"/>
          <w:spacing w:val="-2"/>
          <w:w w:val="110"/>
          <w:sz w:val="22"/>
        </w:rPr>
        <w:t>Discrimination:</w:t>
      </w:r>
      <w:r>
        <w:rPr>
          <w:color w:val="212121"/>
          <w:spacing w:val="-8"/>
          <w:w w:val="110"/>
          <w:sz w:val="22"/>
        </w:rPr>
        <w:t> </w:t>
      </w:r>
      <w:r>
        <w:rPr>
          <w:color w:val="212121"/>
          <w:spacing w:val="-2"/>
          <w:w w:val="110"/>
          <w:sz w:val="22"/>
        </w:rPr>
        <w:t>A</w:t>
      </w:r>
      <w:r>
        <w:rPr>
          <w:color w:val="212121"/>
          <w:spacing w:val="-4"/>
          <w:w w:val="110"/>
          <w:sz w:val="22"/>
        </w:rPr>
        <w:t> </w:t>
      </w:r>
      <w:r>
        <w:rPr>
          <w:color w:val="212121"/>
          <w:spacing w:val="-2"/>
          <w:w w:val="110"/>
          <w:sz w:val="22"/>
        </w:rPr>
        <w:t>Health</w:t>
      </w:r>
      <w:r>
        <w:rPr>
          <w:color w:val="212121"/>
          <w:spacing w:val="-7"/>
          <w:w w:val="110"/>
          <w:sz w:val="22"/>
        </w:rPr>
        <w:t> </w:t>
      </w:r>
      <w:r>
        <w:rPr>
          <w:color w:val="212121"/>
          <w:spacing w:val="-2"/>
          <w:w w:val="110"/>
          <w:sz w:val="22"/>
        </w:rPr>
        <w:t>Hazard</w:t>
      </w:r>
      <w:r>
        <w:rPr>
          <w:color w:val="212121"/>
          <w:spacing w:val="-6"/>
          <w:w w:val="110"/>
          <w:sz w:val="22"/>
        </w:rPr>
        <w:t> </w:t>
      </w:r>
      <w:r>
        <w:rPr>
          <w:color w:val="212121"/>
          <w:spacing w:val="-2"/>
          <w:w w:val="110"/>
          <w:sz w:val="22"/>
        </w:rPr>
        <w:t>for</w:t>
      </w:r>
      <w:r>
        <w:rPr>
          <w:color w:val="212121"/>
          <w:spacing w:val="-6"/>
          <w:w w:val="110"/>
          <w:sz w:val="22"/>
        </w:rPr>
        <w:t> </w:t>
      </w:r>
      <w:r>
        <w:rPr>
          <w:color w:val="212121"/>
          <w:spacing w:val="-2"/>
          <w:w w:val="110"/>
          <w:sz w:val="22"/>
        </w:rPr>
        <w:t>People</w:t>
      </w:r>
      <w:r>
        <w:rPr>
          <w:color w:val="212121"/>
          <w:spacing w:val="-3"/>
          <w:w w:val="110"/>
          <w:sz w:val="22"/>
        </w:rPr>
        <w:t> </w:t>
      </w:r>
      <w:r>
        <w:rPr>
          <w:color w:val="212121"/>
          <w:spacing w:val="-2"/>
          <w:w w:val="110"/>
          <w:sz w:val="22"/>
        </w:rPr>
        <w:t>from </w:t>
      </w:r>
      <w:r>
        <w:rPr>
          <w:color w:val="212121"/>
          <w:sz w:val="22"/>
        </w:rPr>
        <w:t>Refugee</w:t>
      </w:r>
      <w:r>
        <w:rPr>
          <w:color w:val="212121"/>
          <w:spacing w:val="33"/>
          <w:sz w:val="22"/>
        </w:rPr>
        <w:t> </w:t>
      </w:r>
      <w:r>
        <w:rPr>
          <w:color w:val="212121"/>
          <w:sz w:val="22"/>
        </w:rPr>
        <w:t>and</w:t>
      </w:r>
      <w:r>
        <w:rPr>
          <w:color w:val="212121"/>
          <w:spacing w:val="37"/>
          <w:sz w:val="22"/>
        </w:rPr>
        <w:t> </w:t>
      </w:r>
      <w:r>
        <w:rPr>
          <w:color w:val="212121"/>
          <w:sz w:val="22"/>
        </w:rPr>
        <w:t>Asylum-Seeking</w:t>
      </w:r>
      <w:r>
        <w:rPr>
          <w:color w:val="212121"/>
          <w:spacing w:val="33"/>
          <w:sz w:val="22"/>
        </w:rPr>
        <w:t> </w:t>
      </w:r>
      <w:r>
        <w:rPr>
          <w:color w:val="212121"/>
          <w:sz w:val="22"/>
        </w:rPr>
        <w:t>Backgrounds</w:t>
      </w:r>
      <w:r>
        <w:rPr>
          <w:color w:val="212121"/>
          <w:spacing w:val="33"/>
          <w:sz w:val="22"/>
        </w:rPr>
        <w:t> </w:t>
      </w:r>
      <w:r>
        <w:rPr>
          <w:color w:val="212121"/>
          <w:sz w:val="22"/>
        </w:rPr>
        <w:t>Resettled</w:t>
      </w:r>
      <w:r>
        <w:rPr>
          <w:color w:val="212121"/>
          <w:spacing w:val="33"/>
          <w:sz w:val="22"/>
        </w:rPr>
        <w:t> </w:t>
      </w:r>
      <w:r>
        <w:rPr>
          <w:color w:val="212121"/>
          <w:sz w:val="22"/>
        </w:rPr>
        <w:t>in</w:t>
      </w:r>
      <w:r>
        <w:rPr>
          <w:color w:val="212121"/>
          <w:spacing w:val="33"/>
          <w:sz w:val="22"/>
        </w:rPr>
        <w:t> </w:t>
      </w:r>
      <w:r>
        <w:rPr>
          <w:color w:val="212121"/>
          <w:sz w:val="22"/>
        </w:rPr>
        <w:t>Australia.</w:t>
      </w:r>
      <w:r>
        <w:rPr>
          <w:color w:val="212121"/>
          <w:spacing w:val="31"/>
          <w:sz w:val="22"/>
        </w:rPr>
        <w:t> </w:t>
      </w:r>
      <w:r>
        <w:rPr>
          <w:color w:val="212121"/>
          <w:sz w:val="22"/>
        </w:rPr>
        <w:t>BMC</w:t>
      </w:r>
      <w:r>
        <w:rPr>
          <w:color w:val="212121"/>
          <w:spacing w:val="33"/>
          <w:sz w:val="22"/>
        </w:rPr>
        <w:t> </w:t>
      </w:r>
      <w:r>
        <w:rPr>
          <w:color w:val="212121"/>
          <w:sz w:val="22"/>
        </w:rPr>
        <w:t>Public</w:t>
      </w:r>
      <w:r>
        <w:rPr>
          <w:color w:val="212121"/>
          <w:spacing w:val="35"/>
          <w:sz w:val="22"/>
        </w:rPr>
        <w:t> </w:t>
      </w:r>
      <w:r>
        <w:rPr>
          <w:color w:val="212121"/>
          <w:sz w:val="22"/>
        </w:rPr>
        <w:t>Health,</w:t>
      </w:r>
      <w:r>
        <w:rPr>
          <w:color w:val="212121"/>
          <w:spacing w:val="29"/>
          <w:sz w:val="22"/>
        </w:rPr>
        <w:t> </w:t>
      </w:r>
      <w:r>
        <w:rPr>
          <w:color w:val="212121"/>
          <w:sz w:val="22"/>
        </w:rPr>
        <w:t>20(108). </w:t>
      </w:r>
      <w:hyperlink r:id="rId28">
        <w:r>
          <w:rPr>
            <w:b/>
            <w:color w:val="333366"/>
            <w:spacing w:val="-2"/>
            <w:w w:val="110"/>
            <w:sz w:val="22"/>
            <w:u w:val="single" w:color="333366"/>
          </w:rPr>
          <w:t>https://bmcpublichealth.biomedcentral.com/articles/10.1186/s12889-019-8068-3</w:t>
        </w:r>
      </w:hyperlink>
    </w:p>
    <w:p>
      <w:pPr>
        <w:spacing w:line="276" w:lineRule="auto" w:before="120"/>
        <w:ind w:left="1440" w:right="1409" w:firstLine="0"/>
        <w:jc w:val="left"/>
        <w:rPr>
          <w:b/>
          <w:sz w:val="22"/>
        </w:rPr>
      </w:pPr>
      <w:r>
        <w:rPr>
          <w:w w:val="105"/>
          <w:sz w:val="22"/>
        </w:rPr>
        <w:t>Ziersch,</w:t>
      </w:r>
      <w:r>
        <w:rPr>
          <w:spacing w:val="-4"/>
          <w:w w:val="105"/>
          <w:sz w:val="22"/>
        </w:rPr>
        <w:t> </w:t>
      </w:r>
      <w:r>
        <w:rPr>
          <w:w w:val="105"/>
          <w:sz w:val="22"/>
        </w:rPr>
        <w:t>A.,</w:t>
      </w:r>
      <w:r>
        <w:rPr>
          <w:spacing w:val="-4"/>
          <w:w w:val="105"/>
          <w:sz w:val="22"/>
        </w:rPr>
        <w:t> </w:t>
      </w:r>
      <w:r>
        <w:rPr>
          <w:w w:val="105"/>
          <w:sz w:val="22"/>
        </w:rPr>
        <w:t>Loehr,</w:t>
      </w:r>
      <w:r>
        <w:rPr>
          <w:spacing w:val="-4"/>
          <w:w w:val="105"/>
          <w:sz w:val="22"/>
        </w:rPr>
        <w:t> </w:t>
      </w:r>
      <w:r>
        <w:rPr>
          <w:w w:val="105"/>
          <w:sz w:val="22"/>
        </w:rPr>
        <w:t>N.,</w:t>
      </w:r>
      <w:r>
        <w:rPr>
          <w:spacing w:val="-8"/>
          <w:w w:val="105"/>
          <w:sz w:val="22"/>
        </w:rPr>
        <w:t> </w:t>
      </w:r>
      <w:r>
        <w:rPr>
          <w:w w:val="105"/>
          <w:sz w:val="22"/>
        </w:rPr>
        <w:t>&amp;</w:t>
      </w:r>
      <w:r>
        <w:rPr>
          <w:spacing w:val="-4"/>
          <w:w w:val="105"/>
          <w:sz w:val="22"/>
        </w:rPr>
        <w:t> </w:t>
      </w:r>
      <w:r>
        <w:rPr>
          <w:w w:val="105"/>
          <w:sz w:val="22"/>
        </w:rPr>
        <w:t>Miller,</w:t>
      </w:r>
      <w:r>
        <w:rPr>
          <w:spacing w:val="-6"/>
          <w:w w:val="105"/>
          <w:sz w:val="22"/>
        </w:rPr>
        <w:t> </w:t>
      </w:r>
      <w:r>
        <w:rPr>
          <w:w w:val="105"/>
          <w:sz w:val="22"/>
        </w:rPr>
        <w:t>K.</w:t>
      </w:r>
      <w:r>
        <w:rPr>
          <w:spacing w:val="-5"/>
          <w:w w:val="105"/>
          <w:sz w:val="22"/>
        </w:rPr>
        <w:t> </w:t>
      </w:r>
      <w:r>
        <w:rPr>
          <w:w w:val="105"/>
          <w:sz w:val="22"/>
        </w:rPr>
        <w:t>(2024).</w:t>
      </w:r>
      <w:r>
        <w:rPr>
          <w:spacing w:val="-5"/>
          <w:w w:val="105"/>
          <w:sz w:val="22"/>
        </w:rPr>
        <w:t> </w:t>
      </w:r>
      <w:r>
        <w:rPr>
          <w:w w:val="105"/>
          <w:sz w:val="22"/>
        </w:rPr>
        <w:t>Discrimination</w:t>
      </w:r>
      <w:r>
        <w:rPr>
          <w:spacing w:val="-5"/>
          <w:w w:val="105"/>
          <w:sz w:val="22"/>
        </w:rPr>
        <w:t> </w:t>
      </w:r>
      <w:r>
        <w:rPr>
          <w:w w:val="105"/>
          <w:sz w:val="22"/>
        </w:rPr>
        <w:t>in</w:t>
      </w:r>
      <w:r>
        <w:rPr>
          <w:spacing w:val="-5"/>
          <w:w w:val="105"/>
          <w:sz w:val="22"/>
        </w:rPr>
        <w:t> </w:t>
      </w:r>
      <w:r>
        <w:rPr>
          <w:w w:val="105"/>
          <w:sz w:val="22"/>
        </w:rPr>
        <w:t>the</w:t>
      </w:r>
      <w:r>
        <w:rPr>
          <w:spacing w:val="-5"/>
          <w:w w:val="105"/>
          <w:sz w:val="22"/>
        </w:rPr>
        <w:t> </w:t>
      </w:r>
      <w:r>
        <w:rPr>
          <w:w w:val="105"/>
          <w:sz w:val="22"/>
        </w:rPr>
        <w:t>private</w:t>
      </w:r>
      <w:r>
        <w:rPr>
          <w:spacing w:val="-3"/>
          <w:w w:val="105"/>
          <w:sz w:val="22"/>
        </w:rPr>
        <w:t> </w:t>
      </w:r>
      <w:r>
        <w:rPr>
          <w:w w:val="105"/>
          <w:sz w:val="22"/>
        </w:rPr>
        <w:t>rental</w:t>
      </w:r>
      <w:r>
        <w:rPr>
          <w:spacing w:val="-9"/>
          <w:w w:val="105"/>
          <w:sz w:val="22"/>
        </w:rPr>
        <w:t> </w:t>
      </w:r>
      <w:r>
        <w:rPr>
          <w:w w:val="105"/>
          <w:sz w:val="22"/>
        </w:rPr>
        <w:t>market</w:t>
      </w:r>
      <w:r>
        <w:rPr>
          <w:spacing w:val="-3"/>
          <w:w w:val="105"/>
          <w:sz w:val="22"/>
        </w:rPr>
        <w:t> </w:t>
      </w:r>
      <w:r>
        <w:rPr>
          <w:w w:val="105"/>
          <w:sz w:val="22"/>
        </w:rPr>
        <w:t>in</w:t>
      </w:r>
      <w:r>
        <w:rPr>
          <w:spacing w:val="-3"/>
          <w:w w:val="105"/>
          <w:sz w:val="22"/>
        </w:rPr>
        <w:t> </w:t>
      </w:r>
      <w:r>
        <w:rPr>
          <w:w w:val="105"/>
          <w:sz w:val="22"/>
        </w:rPr>
        <w:t>Australia: large families from refugee backgrounds. Housing Studies, 39(11), 2938-2962. </w:t>
      </w:r>
      <w:hyperlink r:id="rId29">
        <w:r>
          <w:rPr>
            <w:b/>
            <w:color w:val="333366"/>
            <w:spacing w:val="-2"/>
            <w:w w:val="105"/>
            <w:sz w:val="22"/>
            <w:u w:val="single" w:color="333366"/>
          </w:rPr>
          <w:t>https://www.tandfonline.com/doi/full/10.1080/02673037.2023.2238626#abstract</w:t>
        </w:r>
      </w:hyperlink>
    </w:p>
    <w:p>
      <w:pPr>
        <w:spacing w:line="276" w:lineRule="auto" w:before="120"/>
        <w:ind w:left="1440" w:right="1697" w:firstLine="0"/>
        <w:jc w:val="left"/>
        <w:rPr>
          <w:sz w:val="22"/>
        </w:rPr>
      </w:pPr>
      <w:r>
        <w:rPr>
          <w:spacing w:val="-2"/>
          <w:w w:val="110"/>
          <w:sz w:val="22"/>
        </w:rPr>
        <w:t>Ziersch,</w:t>
      </w:r>
      <w:r>
        <w:rPr>
          <w:spacing w:val="-8"/>
          <w:w w:val="110"/>
          <w:sz w:val="22"/>
        </w:rPr>
        <w:t> </w:t>
      </w:r>
      <w:r>
        <w:rPr>
          <w:spacing w:val="-2"/>
          <w:w w:val="110"/>
          <w:sz w:val="22"/>
        </w:rPr>
        <w:t>A.,</w:t>
      </w:r>
      <w:r>
        <w:rPr>
          <w:spacing w:val="-8"/>
          <w:w w:val="110"/>
          <w:sz w:val="22"/>
        </w:rPr>
        <w:t> </w:t>
      </w:r>
      <w:r>
        <w:rPr>
          <w:spacing w:val="-2"/>
          <w:w w:val="110"/>
          <w:sz w:val="22"/>
        </w:rPr>
        <w:t>Walsh,</w:t>
      </w:r>
      <w:r>
        <w:rPr>
          <w:spacing w:val="-11"/>
          <w:w w:val="110"/>
          <w:sz w:val="22"/>
        </w:rPr>
        <w:t> </w:t>
      </w:r>
      <w:r>
        <w:rPr>
          <w:spacing w:val="-2"/>
          <w:w w:val="110"/>
          <w:sz w:val="22"/>
        </w:rPr>
        <w:t>M.,</w:t>
      </w:r>
      <w:r>
        <w:rPr>
          <w:spacing w:val="-8"/>
          <w:w w:val="110"/>
          <w:sz w:val="22"/>
        </w:rPr>
        <w:t> </w:t>
      </w:r>
      <w:r>
        <w:rPr>
          <w:spacing w:val="-2"/>
          <w:w w:val="110"/>
          <w:sz w:val="22"/>
        </w:rPr>
        <w:t>&amp;</w:t>
      </w:r>
      <w:r>
        <w:rPr>
          <w:spacing w:val="-13"/>
          <w:w w:val="110"/>
          <w:sz w:val="22"/>
        </w:rPr>
        <w:t> </w:t>
      </w:r>
      <w:r>
        <w:rPr>
          <w:spacing w:val="-2"/>
          <w:w w:val="110"/>
          <w:sz w:val="22"/>
        </w:rPr>
        <w:t>Due,</w:t>
      </w:r>
      <w:r>
        <w:rPr>
          <w:spacing w:val="-8"/>
          <w:w w:val="110"/>
          <w:sz w:val="22"/>
        </w:rPr>
        <w:t> </w:t>
      </w:r>
      <w:r>
        <w:rPr>
          <w:spacing w:val="-2"/>
          <w:w w:val="110"/>
          <w:sz w:val="22"/>
        </w:rPr>
        <w:t>C.</w:t>
      </w:r>
      <w:r>
        <w:rPr>
          <w:spacing w:val="-11"/>
          <w:w w:val="110"/>
          <w:sz w:val="22"/>
        </w:rPr>
        <w:t> </w:t>
      </w:r>
      <w:r>
        <w:rPr>
          <w:spacing w:val="-2"/>
          <w:w w:val="110"/>
          <w:sz w:val="22"/>
        </w:rPr>
        <w:t>(2024).</w:t>
      </w:r>
      <w:r>
        <w:rPr>
          <w:spacing w:val="-9"/>
          <w:w w:val="110"/>
          <w:sz w:val="22"/>
        </w:rPr>
        <w:t> </w:t>
      </w:r>
      <w:r>
        <w:rPr>
          <w:spacing w:val="-2"/>
          <w:w w:val="110"/>
          <w:sz w:val="22"/>
        </w:rPr>
        <w:t>Housing</w:t>
      </w:r>
      <w:r>
        <w:rPr>
          <w:spacing w:val="-9"/>
          <w:w w:val="110"/>
          <w:sz w:val="22"/>
        </w:rPr>
        <w:t> </w:t>
      </w:r>
      <w:r>
        <w:rPr>
          <w:spacing w:val="-2"/>
          <w:w w:val="110"/>
          <w:sz w:val="22"/>
        </w:rPr>
        <w:t>and</w:t>
      </w:r>
      <w:r>
        <w:rPr>
          <w:spacing w:val="-9"/>
          <w:w w:val="110"/>
          <w:sz w:val="22"/>
        </w:rPr>
        <w:t> </w:t>
      </w:r>
      <w:r>
        <w:rPr>
          <w:spacing w:val="-2"/>
          <w:w w:val="110"/>
          <w:sz w:val="22"/>
        </w:rPr>
        <w:t>health</w:t>
      </w:r>
      <w:r>
        <w:rPr>
          <w:spacing w:val="-10"/>
          <w:w w:val="110"/>
          <w:sz w:val="22"/>
        </w:rPr>
        <w:t> </w:t>
      </w:r>
      <w:r>
        <w:rPr>
          <w:spacing w:val="-2"/>
          <w:w w:val="110"/>
          <w:sz w:val="22"/>
        </w:rPr>
        <w:t>for</w:t>
      </w:r>
      <w:r>
        <w:rPr>
          <w:spacing w:val="-9"/>
          <w:w w:val="110"/>
          <w:sz w:val="22"/>
        </w:rPr>
        <w:t> </w:t>
      </w:r>
      <w:r>
        <w:rPr>
          <w:spacing w:val="-2"/>
          <w:w w:val="110"/>
          <w:sz w:val="22"/>
        </w:rPr>
        <w:t>people</w:t>
      </w:r>
      <w:r>
        <w:rPr>
          <w:spacing w:val="-9"/>
          <w:w w:val="110"/>
          <w:sz w:val="22"/>
        </w:rPr>
        <w:t> </w:t>
      </w:r>
      <w:r>
        <w:rPr>
          <w:spacing w:val="-2"/>
          <w:w w:val="110"/>
          <w:sz w:val="22"/>
        </w:rPr>
        <w:t>from</w:t>
      </w:r>
      <w:r>
        <w:rPr>
          <w:spacing w:val="-11"/>
          <w:w w:val="110"/>
          <w:sz w:val="22"/>
        </w:rPr>
        <w:t> </w:t>
      </w:r>
      <w:r>
        <w:rPr>
          <w:spacing w:val="-2"/>
          <w:w w:val="110"/>
          <w:sz w:val="22"/>
        </w:rPr>
        <w:t>refugee</w:t>
      </w:r>
      <w:r>
        <w:rPr>
          <w:spacing w:val="-9"/>
          <w:w w:val="110"/>
          <w:sz w:val="22"/>
        </w:rPr>
        <w:t> </w:t>
      </w:r>
      <w:r>
        <w:rPr>
          <w:spacing w:val="-2"/>
          <w:w w:val="110"/>
          <w:sz w:val="22"/>
        </w:rPr>
        <w:t>and </w:t>
      </w:r>
      <w:r>
        <w:rPr>
          <w:sz w:val="22"/>
        </w:rPr>
        <w:t>asylum-seeking</w:t>
      </w:r>
      <w:r>
        <w:rPr>
          <w:spacing w:val="33"/>
          <w:sz w:val="22"/>
        </w:rPr>
        <w:t> </w:t>
      </w:r>
      <w:r>
        <w:rPr>
          <w:sz w:val="22"/>
        </w:rPr>
        <w:t>backgrounds:</w:t>
      </w:r>
      <w:r>
        <w:rPr>
          <w:spacing w:val="35"/>
          <w:sz w:val="22"/>
        </w:rPr>
        <w:t> </w:t>
      </w:r>
      <w:r>
        <w:rPr>
          <w:sz w:val="22"/>
        </w:rPr>
        <w:t>findings</w:t>
      </w:r>
      <w:r>
        <w:rPr>
          <w:spacing w:val="33"/>
          <w:sz w:val="22"/>
        </w:rPr>
        <w:t> </w:t>
      </w:r>
      <w:r>
        <w:rPr>
          <w:sz w:val="22"/>
        </w:rPr>
        <w:t>from</w:t>
      </w:r>
      <w:r>
        <w:rPr>
          <w:spacing w:val="33"/>
          <w:sz w:val="22"/>
        </w:rPr>
        <w:t> </w:t>
      </w:r>
      <w:r>
        <w:rPr>
          <w:sz w:val="22"/>
        </w:rPr>
        <w:t>an</w:t>
      </w:r>
      <w:r>
        <w:rPr>
          <w:spacing w:val="33"/>
          <w:sz w:val="22"/>
        </w:rPr>
        <w:t> </w:t>
      </w:r>
      <w:r>
        <w:rPr>
          <w:sz w:val="22"/>
        </w:rPr>
        <w:t>Australian</w:t>
      </w:r>
      <w:r>
        <w:rPr>
          <w:spacing w:val="33"/>
          <w:sz w:val="22"/>
        </w:rPr>
        <w:t> </w:t>
      </w:r>
      <w:r>
        <w:rPr>
          <w:sz w:val="22"/>
        </w:rPr>
        <w:t>qualitative</w:t>
      </w:r>
      <w:r>
        <w:rPr>
          <w:spacing w:val="37"/>
          <w:sz w:val="22"/>
        </w:rPr>
        <w:t> </w:t>
      </w:r>
      <w:r>
        <w:rPr>
          <w:sz w:val="22"/>
        </w:rPr>
        <w:t>longitudinal</w:t>
      </w:r>
      <w:r>
        <w:rPr>
          <w:spacing w:val="35"/>
          <w:sz w:val="22"/>
        </w:rPr>
        <w:t> </w:t>
      </w:r>
      <w:r>
        <w:rPr>
          <w:sz w:val="22"/>
        </w:rPr>
        <w:t>study.</w:t>
      </w:r>
      <w:r>
        <w:rPr>
          <w:spacing w:val="29"/>
          <w:sz w:val="22"/>
        </w:rPr>
        <w:t> </w:t>
      </w:r>
      <w:r>
        <w:rPr>
          <w:sz w:val="22"/>
        </w:rPr>
        <w:t>BMC </w:t>
      </w:r>
      <w:r>
        <w:rPr>
          <w:w w:val="110"/>
          <w:sz w:val="22"/>
        </w:rPr>
        <w:t>public health, 24(1), 1138. </w:t>
      </w:r>
      <w:hyperlink r:id="rId30">
        <w:r>
          <w:rPr>
            <w:b/>
            <w:color w:val="333366"/>
            <w:spacing w:val="-2"/>
            <w:w w:val="110"/>
            <w:sz w:val="22"/>
            <w:u w:val="single" w:color="333366"/>
          </w:rPr>
          <w:t>https://bmcpublichealth.biomedcentral.com/articles/10.1186/s12889-024-18616-</w:t>
        </w:r>
      </w:hyperlink>
      <w:r>
        <w:rPr>
          <w:spacing w:val="-2"/>
          <w:w w:val="110"/>
          <w:sz w:val="22"/>
          <w:u w:val="none"/>
        </w:rPr>
        <w:t>5</w:t>
      </w:r>
    </w:p>
    <w:sectPr>
      <w:pgSz w:w="11910" w:h="16840"/>
      <w:pgMar w:header="0" w:footer="891" w:top="1340" w:bottom="10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Calibri Light">
    <w:altName w:val="Calibri Light"/>
    <w:charset w:val="0"/>
    <w:family w:val="swiss"/>
    <w:pitch w:val="variable"/>
  </w:font>
  <w:font w:name="Segoe UI">
    <w:altName w:val="Segoe UI"/>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467520">
              <wp:simplePos x="0" y="0"/>
              <wp:positionH relativeFrom="page">
                <wp:posOffset>2122677</wp:posOffset>
              </wp:positionH>
              <wp:positionV relativeFrom="page">
                <wp:posOffset>9987102</wp:posOffset>
              </wp:positionV>
              <wp:extent cx="4537710" cy="12763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537710" cy="127635"/>
                      </a:xfrm>
                      <a:prstGeom prst="rect">
                        <a:avLst/>
                      </a:prstGeom>
                    </wps:spPr>
                    <wps:txbx>
                      <w:txbxContent>
                        <w:p>
                          <w:pPr>
                            <w:spacing w:line="184" w:lineRule="exact" w:before="0"/>
                            <w:ind w:left="20" w:right="0" w:firstLine="0"/>
                            <w:jc w:val="left"/>
                            <w:rPr>
                              <w:sz w:val="16"/>
                            </w:rPr>
                          </w:pPr>
                          <w:r>
                            <w:rPr>
                              <w:sz w:val="16"/>
                            </w:rPr>
                            <w:t>MCWH</w:t>
                          </w:r>
                          <w:r>
                            <w:rPr>
                              <w:spacing w:val="-5"/>
                              <w:sz w:val="16"/>
                            </w:rPr>
                            <w:t> </w:t>
                          </w:r>
                          <w:r>
                            <w:rPr>
                              <w:sz w:val="16"/>
                            </w:rPr>
                            <w:t>Submission</w:t>
                          </w:r>
                          <w:r>
                            <w:rPr>
                              <w:spacing w:val="-4"/>
                              <w:sz w:val="16"/>
                            </w:rPr>
                            <w:t> </w:t>
                          </w:r>
                          <w:r>
                            <w:rPr>
                              <w:sz w:val="16"/>
                            </w:rPr>
                            <w:t>to</w:t>
                          </w:r>
                          <w:r>
                            <w:rPr>
                              <w:spacing w:val="-5"/>
                              <w:sz w:val="16"/>
                            </w:rPr>
                            <w:t> </w:t>
                          </w:r>
                          <w:r>
                            <w:rPr>
                              <w:sz w:val="16"/>
                            </w:rPr>
                            <w:t>the</w:t>
                          </w:r>
                          <w:r>
                            <w:rPr>
                              <w:spacing w:val="-4"/>
                              <w:sz w:val="16"/>
                            </w:rPr>
                            <w:t> </w:t>
                          </w:r>
                          <w:r>
                            <w:rPr>
                              <w:sz w:val="16"/>
                            </w:rPr>
                            <w:t>Inquiry</w:t>
                          </w:r>
                          <w:r>
                            <w:rPr>
                              <w:spacing w:val="-3"/>
                              <w:sz w:val="16"/>
                            </w:rPr>
                            <w:t> </w:t>
                          </w:r>
                          <w:r>
                            <w:rPr>
                              <w:sz w:val="16"/>
                            </w:rPr>
                            <w:t>into</w:t>
                          </w:r>
                          <w:r>
                            <w:rPr>
                              <w:spacing w:val="-2"/>
                              <w:sz w:val="16"/>
                            </w:rPr>
                            <w:t> </w:t>
                          </w:r>
                          <w:r>
                            <w:rPr>
                              <w:sz w:val="16"/>
                            </w:rPr>
                            <w:t>the</w:t>
                          </w:r>
                          <w:r>
                            <w:rPr>
                              <w:spacing w:val="-5"/>
                              <w:sz w:val="16"/>
                            </w:rPr>
                            <w:t> </w:t>
                          </w:r>
                          <w:r>
                            <w:rPr>
                              <w:sz w:val="16"/>
                            </w:rPr>
                            <w:t>redevelopment</w:t>
                          </w:r>
                          <w:r>
                            <w:rPr>
                              <w:spacing w:val="-6"/>
                              <w:sz w:val="16"/>
                            </w:rPr>
                            <w:t> </w:t>
                          </w:r>
                          <w:r>
                            <w:rPr>
                              <w:sz w:val="16"/>
                            </w:rPr>
                            <w:t>of</w:t>
                          </w:r>
                          <w:r>
                            <w:rPr>
                              <w:spacing w:val="-2"/>
                              <w:sz w:val="16"/>
                            </w:rPr>
                            <w:t> </w:t>
                          </w:r>
                          <w:r>
                            <w:rPr>
                              <w:sz w:val="16"/>
                            </w:rPr>
                            <w:t>Melbourne’s</w:t>
                          </w:r>
                          <w:r>
                            <w:rPr>
                              <w:spacing w:val="-5"/>
                              <w:sz w:val="16"/>
                            </w:rPr>
                            <w:t> </w:t>
                          </w:r>
                          <w:r>
                            <w:rPr>
                              <w:sz w:val="16"/>
                            </w:rPr>
                            <w:t>public</w:t>
                          </w:r>
                          <w:r>
                            <w:rPr>
                              <w:spacing w:val="-4"/>
                              <w:sz w:val="16"/>
                            </w:rPr>
                            <w:t> </w:t>
                          </w:r>
                          <w:r>
                            <w:rPr>
                              <w:sz w:val="16"/>
                            </w:rPr>
                            <w:t>housing</w:t>
                          </w:r>
                          <w:r>
                            <w:rPr>
                              <w:spacing w:val="-3"/>
                              <w:sz w:val="16"/>
                            </w:rPr>
                            <w:t> </w:t>
                          </w:r>
                          <w:r>
                            <w:rPr>
                              <w:sz w:val="16"/>
                            </w:rPr>
                            <w:t>towers</w:t>
                          </w:r>
                          <w:r>
                            <w:rPr>
                              <w:spacing w:val="-3"/>
                              <w:sz w:val="16"/>
                            </w:rPr>
                            <w:t> </w:t>
                          </w:r>
                          <w:r>
                            <w:rPr>
                              <w:sz w:val="16"/>
                            </w:rPr>
                            <w:t>|</w:t>
                          </w:r>
                          <w:r>
                            <w:rPr>
                              <w:spacing w:val="-4"/>
                              <w:sz w:val="16"/>
                            </w:rPr>
                            <w:t> </w:t>
                          </w:r>
                          <w:r>
                            <w:rPr>
                              <w:sz w:val="16"/>
                            </w:rPr>
                            <w:t>Page</w:t>
                          </w:r>
                          <w:r>
                            <w:rPr>
                              <w:spacing w:val="-4"/>
                              <w:sz w:val="16"/>
                            </w:rPr>
                            <w:t> </w:t>
                          </w:r>
                          <w:r>
                            <w:rPr>
                              <w:sz w:val="16"/>
                            </w:rPr>
                            <w:fldChar w:fldCharType="begin"/>
                          </w:r>
                          <w:r>
                            <w:rPr>
                              <w:sz w:val="16"/>
                            </w:rPr>
                            <w:instrText> PAGE </w:instrText>
                          </w:r>
                          <w:r>
                            <w:rPr>
                              <w:sz w:val="16"/>
                            </w:rPr>
                            <w:fldChar w:fldCharType="separate"/>
                          </w:r>
                          <w:r>
                            <w:rPr>
                              <w:sz w:val="16"/>
                            </w:rPr>
                            <w:t>1</w:t>
                          </w:r>
                          <w:r>
                            <w:rPr>
                              <w:sz w:val="16"/>
                            </w:rPr>
                            <w:fldChar w:fldCharType="end"/>
                          </w:r>
                          <w:r>
                            <w:rPr>
                              <w:spacing w:val="-4"/>
                              <w:sz w:val="16"/>
                            </w:rPr>
                            <w:t> </w:t>
                          </w:r>
                          <w:r>
                            <w:rPr>
                              <w:sz w:val="16"/>
                            </w:rPr>
                            <w:t>of</w:t>
                          </w:r>
                          <w:r>
                            <w:rPr>
                              <w:spacing w:val="-5"/>
                              <w:sz w:val="16"/>
                            </w:rPr>
                            <w:t> </w:t>
                          </w:r>
                          <w:r>
                            <w:rPr>
                              <w:spacing w:val="-10"/>
                              <w:sz w:val="16"/>
                            </w:rPr>
                            <w:fldChar w:fldCharType="begin"/>
                          </w:r>
                          <w:r>
                            <w:rPr>
                              <w:spacing w:val="-10"/>
                              <w:sz w:val="16"/>
                            </w:rPr>
                            <w:instrText> NUMPAGES </w:instrText>
                          </w:r>
                          <w:r>
                            <w:rPr>
                              <w:spacing w:val="-10"/>
                              <w:sz w:val="16"/>
                            </w:rPr>
                            <w:fldChar w:fldCharType="separate"/>
                          </w:r>
                          <w:r>
                            <w:rPr>
                              <w:spacing w:val="-10"/>
                              <w:sz w:val="16"/>
                            </w:rPr>
                            <w:t>9</w:t>
                          </w:r>
                          <w:r>
                            <w:rPr>
                              <w:spacing w:val="-10"/>
                              <w:sz w:val="16"/>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67.139999pt;margin-top:786.385986pt;width:357.3pt;height:10.050pt;mso-position-horizontal-relative:page;mso-position-vertical-relative:page;z-index:-15848960" type="#_x0000_t202" id="docshape1" filled="false" stroked="false">
              <v:textbox inset="0,0,0,0">
                <w:txbxContent>
                  <w:p>
                    <w:pPr>
                      <w:spacing w:line="184" w:lineRule="exact" w:before="0"/>
                      <w:ind w:left="20" w:right="0" w:firstLine="0"/>
                      <w:jc w:val="left"/>
                      <w:rPr>
                        <w:sz w:val="16"/>
                      </w:rPr>
                    </w:pPr>
                    <w:r>
                      <w:rPr>
                        <w:sz w:val="16"/>
                      </w:rPr>
                      <w:t>MCWH</w:t>
                    </w:r>
                    <w:r>
                      <w:rPr>
                        <w:spacing w:val="-5"/>
                        <w:sz w:val="16"/>
                      </w:rPr>
                      <w:t> </w:t>
                    </w:r>
                    <w:r>
                      <w:rPr>
                        <w:sz w:val="16"/>
                      </w:rPr>
                      <w:t>Submission</w:t>
                    </w:r>
                    <w:r>
                      <w:rPr>
                        <w:spacing w:val="-4"/>
                        <w:sz w:val="16"/>
                      </w:rPr>
                      <w:t> </w:t>
                    </w:r>
                    <w:r>
                      <w:rPr>
                        <w:sz w:val="16"/>
                      </w:rPr>
                      <w:t>to</w:t>
                    </w:r>
                    <w:r>
                      <w:rPr>
                        <w:spacing w:val="-5"/>
                        <w:sz w:val="16"/>
                      </w:rPr>
                      <w:t> </w:t>
                    </w:r>
                    <w:r>
                      <w:rPr>
                        <w:sz w:val="16"/>
                      </w:rPr>
                      <w:t>the</w:t>
                    </w:r>
                    <w:r>
                      <w:rPr>
                        <w:spacing w:val="-4"/>
                        <w:sz w:val="16"/>
                      </w:rPr>
                      <w:t> </w:t>
                    </w:r>
                    <w:r>
                      <w:rPr>
                        <w:sz w:val="16"/>
                      </w:rPr>
                      <w:t>Inquiry</w:t>
                    </w:r>
                    <w:r>
                      <w:rPr>
                        <w:spacing w:val="-3"/>
                        <w:sz w:val="16"/>
                      </w:rPr>
                      <w:t> </w:t>
                    </w:r>
                    <w:r>
                      <w:rPr>
                        <w:sz w:val="16"/>
                      </w:rPr>
                      <w:t>into</w:t>
                    </w:r>
                    <w:r>
                      <w:rPr>
                        <w:spacing w:val="-2"/>
                        <w:sz w:val="16"/>
                      </w:rPr>
                      <w:t> </w:t>
                    </w:r>
                    <w:r>
                      <w:rPr>
                        <w:sz w:val="16"/>
                      </w:rPr>
                      <w:t>the</w:t>
                    </w:r>
                    <w:r>
                      <w:rPr>
                        <w:spacing w:val="-5"/>
                        <w:sz w:val="16"/>
                      </w:rPr>
                      <w:t> </w:t>
                    </w:r>
                    <w:r>
                      <w:rPr>
                        <w:sz w:val="16"/>
                      </w:rPr>
                      <w:t>redevelopment</w:t>
                    </w:r>
                    <w:r>
                      <w:rPr>
                        <w:spacing w:val="-6"/>
                        <w:sz w:val="16"/>
                      </w:rPr>
                      <w:t> </w:t>
                    </w:r>
                    <w:r>
                      <w:rPr>
                        <w:sz w:val="16"/>
                      </w:rPr>
                      <w:t>of</w:t>
                    </w:r>
                    <w:r>
                      <w:rPr>
                        <w:spacing w:val="-2"/>
                        <w:sz w:val="16"/>
                      </w:rPr>
                      <w:t> </w:t>
                    </w:r>
                    <w:r>
                      <w:rPr>
                        <w:sz w:val="16"/>
                      </w:rPr>
                      <w:t>Melbourne’s</w:t>
                    </w:r>
                    <w:r>
                      <w:rPr>
                        <w:spacing w:val="-5"/>
                        <w:sz w:val="16"/>
                      </w:rPr>
                      <w:t> </w:t>
                    </w:r>
                    <w:r>
                      <w:rPr>
                        <w:sz w:val="16"/>
                      </w:rPr>
                      <w:t>public</w:t>
                    </w:r>
                    <w:r>
                      <w:rPr>
                        <w:spacing w:val="-4"/>
                        <w:sz w:val="16"/>
                      </w:rPr>
                      <w:t> </w:t>
                    </w:r>
                    <w:r>
                      <w:rPr>
                        <w:sz w:val="16"/>
                      </w:rPr>
                      <w:t>housing</w:t>
                    </w:r>
                    <w:r>
                      <w:rPr>
                        <w:spacing w:val="-3"/>
                        <w:sz w:val="16"/>
                      </w:rPr>
                      <w:t> </w:t>
                    </w:r>
                    <w:r>
                      <w:rPr>
                        <w:sz w:val="16"/>
                      </w:rPr>
                      <w:t>towers</w:t>
                    </w:r>
                    <w:r>
                      <w:rPr>
                        <w:spacing w:val="-3"/>
                        <w:sz w:val="16"/>
                      </w:rPr>
                      <w:t> </w:t>
                    </w:r>
                    <w:r>
                      <w:rPr>
                        <w:sz w:val="16"/>
                      </w:rPr>
                      <w:t>|</w:t>
                    </w:r>
                    <w:r>
                      <w:rPr>
                        <w:spacing w:val="-4"/>
                        <w:sz w:val="16"/>
                      </w:rPr>
                      <w:t> </w:t>
                    </w:r>
                    <w:r>
                      <w:rPr>
                        <w:sz w:val="16"/>
                      </w:rPr>
                      <w:t>Page</w:t>
                    </w:r>
                    <w:r>
                      <w:rPr>
                        <w:spacing w:val="-4"/>
                        <w:sz w:val="16"/>
                      </w:rPr>
                      <w:t> </w:t>
                    </w:r>
                    <w:r>
                      <w:rPr>
                        <w:sz w:val="16"/>
                      </w:rPr>
                      <w:fldChar w:fldCharType="begin"/>
                    </w:r>
                    <w:r>
                      <w:rPr>
                        <w:sz w:val="16"/>
                      </w:rPr>
                      <w:instrText> PAGE </w:instrText>
                    </w:r>
                    <w:r>
                      <w:rPr>
                        <w:sz w:val="16"/>
                      </w:rPr>
                      <w:fldChar w:fldCharType="separate"/>
                    </w:r>
                    <w:r>
                      <w:rPr>
                        <w:sz w:val="16"/>
                      </w:rPr>
                      <w:t>1</w:t>
                    </w:r>
                    <w:r>
                      <w:rPr>
                        <w:sz w:val="16"/>
                      </w:rPr>
                      <w:fldChar w:fldCharType="end"/>
                    </w:r>
                    <w:r>
                      <w:rPr>
                        <w:spacing w:val="-4"/>
                        <w:sz w:val="16"/>
                      </w:rPr>
                      <w:t> </w:t>
                    </w:r>
                    <w:r>
                      <w:rPr>
                        <w:sz w:val="16"/>
                      </w:rPr>
                      <w:t>of</w:t>
                    </w:r>
                    <w:r>
                      <w:rPr>
                        <w:spacing w:val="-5"/>
                        <w:sz w:val="16"/>
                      </w:rPr>
                      <w:t> </w:t>
                    </w:r>
                    <w:r>
                      <w:rPr>
                        <w:spacing w:val="-10"/>
                        <w:sz w:val="16"/>
                      </w:rPr>
                      <w:fldChar w:fldCharType="begin"/>
                    </w:r>
                    <w:r>
                      <w:rPr>
                        <w:spacing w:val="-10"/>
                        <w:sz w:val="16"/>
                      </w:rPr>
                      <w:instrText> NUMPAGES </w:instrText>
                    </w:r>
                    <w:r>
                      <w:rPr>
                        <w:spacing w:val="-10"/>
                        <w:sz w:val="16"/>
                      </w:rPr>
                      <w:fldChar w:fldCharType="separate"/>
                    </w:r>
                    <w:r>
                      <w:rPr>
                        <w:spacing w:val="-10"/>
                        <w:sz w:val="16"/>
                      </w:rPr>
                      <w:t>9</w:t>
                    </w:r>
                    <w:r>
                      <w:rPr>
                        <w:spacing w:val="-10"/>
                        <w:sz w:val="16"/>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1800" w:hanging="360"/>
        <w:jc w:val="left"/>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2810" w:hanging="360"/>
      </w:pPr>
      <w:rPr>
        <w:rFonts w:hint="default"/>
        <w:lang w:val="en-US" w:eastAsia="en-US" w:bidi="ar-SA"/>
      </w:rPr>
    </w:lvl>
    <w:lvl w:ilvl="2">
      <w:start w:val="0"/>
      <w:numFmt w:val="bullet"/>
      <w:lvlText w:val="•"/>
      <w:lvlJc w:val="left"/>
      <w:pPr>
        <w:ind w:left="3821" w:hanging="360"/>
      </w:pPr>
      <w:rPr>
        <w:rFonts w:hint="default"/>
        <w:lang w:val="en-US" w:eastAsia="en-US" w:bidi="ar-SA"/>
      </w:rPr>
    </w:lvl>
    <w:lvl w:ilvl="3">
      <w:start w:val="0"/>
      <w:numFmt w:val="bullet"/>
      <w:lvlText w:val="•"/>
      <w:lvlJc w:val="left"/>
      <w:pPr>
        <w:ind w:left="4831" w:hanging="360"/>
      </w:pPr>
      <w:rPr>
        <w:rFonts w:hint="default"/>
        <w:lang w:val="en-US" w:eastAsia="en-US" w:bidi="ar-SA"/>
      </w:rPr>
    </w:lvl>
    <w:lvl w:ilvl="4">
      <w:start w:val="0"/>
      <w:numFmt w:val="bullet"/>
      <w:lvlText w:val="•"/>
      <w:lvlJc w:val="left"/>
      <w:pPr>
        <w:ind w:left="5842" w:hanging="360"/>
      </w:pPr>
      <w:rPr>
        <w:rFonts w:hint="default"/>
        <w:lang w:val="en-US" w:eastAsia="en-US" w:bidi="ar-SA"/>
      </w:rPr>
    </w:lvl>
    <w:lvl w:ilvl="5">
      <w:start w:val="0"/>
      <w:numFmt w:val="bullet"/>
      <w:lvlText w:val="•"/>
      <w:lvlJc w:val="left"/>
      <w:pPr>
        <w:ind w:left="6853" w:hanging="360"/>
      </w:pPr>
      <w:rPr>
        <w:rFonts w:hint="default"/>
        <w:lang w:val="en-US" w:eastAsia="en-US" w:bidi="ar-SA"/>
      </w:rPr>
    </w:lvl>
    <w:lvl w:ilvl="6">
      <w:start w:val="0"/>
      <w:numFmt w:val="bullet"/>
      <w:lvlText w:val="•"/>
      <w:lvlJc w:val="left"/>
      <w:pPr>
        <w:ind w:left="7863" w:hanging="360"/>
      </w:pPr>
      <w:rPr>
        <w:rFonts w:hint="default"/>
        <w:lang w:val="en-US" w:eastAsia="en-US" w:bidi="ar-SA"/>
      </w:rPr>
    </w:lvl>
    <w:lvl w:ilvl="7">
      <w:start w:val="0"/>
      <w:numFmt w:val="bullet"/>
      <w:lvlText w:val="•"/>
      <w:lvlJc w:val="left"/>
      <w:pPr>
        <w:ind w:left="8874" w:hanging="360"/>
      </w:pPr>
      <w:rPr>
        <w:rFonts w:hint="default"/>
        <w:lang w:val="en-US" w:eastAsia="en-US" w:bidi="ar-SA"/>
      </w:rPr>
    </w:lvl>
    <w:lvl w:ilvl="8">
      <w:start w:val="0"/>
      <w:numFmt w:val="bullet"/>
      <w:lvlText w:val="•"/>
      <w:lvlJc w:val="left"/>
      <w:pPr>
        <w:ind w:left="9885" w:hanging="360"/>
      </w:pPr>
      <w:rPr>
        <w:rFonts w:hint="default"/>
        <w:lang w:val="en-US" w:eastAsia="en-US" w:bidi="ar-SA"/>
      </w:rPr>
    </w:lvl>
  </w:abstractNum>
  <w:abstractNum w:abstractNumId="0">
    <w:multiLevelType w:val="hybridMultilevel"/>
    <w:lvl w:ilvl="0">
      <w:start w:val="1"/>
      <w:numFmt w:val="lowerLetter"/>
      <w:lvlText w:val="%1)"/>
      <w:lvlJc w:val="left"/>
      <w:pPr>
        <w:ind w:left="1440" w:hanging="223"/>
        <w:jc w:val="left"/>
      </w:pPr>
      <w:rPr>
        <w:rFonts w:hint="default" w:ascii="Calibri" w:hAnsi="Calibri" w:eastAsia="Calibri" w:cs="Calibri"/>
        <w:b w:val="0"/>
        <w:bCs w:val="0"/>
        <w:i w:val="0"/>
        <w:iCs w:val="0"/>
        <w:spacing w:val="-1"/>
        <w:w w:val="100"/>
        <w:sz w:val="22"/>
        <w:szCs w:val="22"/>
        <w:lang w:val="en-US" w:eastAsia="en-US" w:bidi="ar-SA"/>
      </w:rPr>
    </w:lvl>
    <w:lvl w:ilvl="1">
      <w:start w:val="1"/>
      <w:numFmt w:val="upperLetter"/>
      <w:lvlText w:val="%2)"/>
      <w:lvlJc w:val="left"/>
      <w:pPr>
        <w:ind w:left="1440" w:hanging="324"/>
        <w:jc w:val="left"/>
      </w:pPr>
      <w:rPr>
        <w:rFonts w:hint="default" w:ascii="Segoe UI" w:hAnsi="Segoe UI" w:eastAsia="Segoe UI" w:cs="Segoe UI"/>
        <w:b/>
        <w:bCs/>
        <w:i w:val="0"/>
        <w:iCs w:val="0"/>
        <w:color w:val="333366"/>
        <w:spacing w:val="-1"/>
        <w:w w:val="100"/>
        <w:sz w:val="24"/>
        <w:szCs w:val="24"/>
        <w:lang w:val="en-US" w:eastAsia="en-US" w:bidi="ar-SA"/>
      </w:rPr>
    </w:lvl>
    <w:lvl w:ilvl="2">
      <w:start w:val="0"/>
      <w:numFmt w:val="bullet"/>
      <w:lvlText w:val="•"/>
      <w:lvlJc w:val="left"/>
      <w:pPr>
        <w:ind w:left="3533" w:hanging="324"/>
      </w:pPr>
      <w:rPr>
        <w:rFonts w:hint="default"/>
        <w:lang w:val="en-US" w:eastAsia="en-US" w:bidi="ar-SA"/>
      </w:rPr>
    </w:lvl>
    <w:lvl w:ilvl="3">
      <w:start w:val="0"/>
      <w:numFmt w:val="bullet"/>
      <w:lvlText w:val="•"/>
      <w:lvlJc w:val="left"/>
      <w:pPr>
        <w:ind w:left="4579" w:hanging="324"/>
      </w:pPr>
      <w:rPr>
        <w:rFonts w:hint="default"/>
        <w:lang w:val="en-US" w:eastAsia="en-US" w:bidi="ar-SA"/>
      </w:rPr>
    </w:lvl>
    <w:lvl w:ilvl="4">
      <w:start w:val="0"/>
      <w:numFmt w:val="bullet"/>
      <w:lvlText w:val="•"/>
      <w:lvlJc w:val="left"/>
      <w:pPr>
        <w:ind w:left="5626" w:hanging="324"/>
      </w:pPr>
      <w:rPr>
        <w:rFonts w:hint="default"/>
        <w:lang w:val="en-US" w:eastAsia="en-US" w:bidi="ar-SA"/>
      </w:rPr>
    </w:lvl>
    <w:lvl w:ilvl="5">
      <w:start w:val="0"/>
      <w:numFmt w:val="bullet"/>
      <w:lvlText w:val="•"/>
      <w:lvlJc w:val="left"/>
      <w:pPr>
        <w:ind w:left="6673" w:hanging="324"/>
      </w:pPr>
      <w:rPr>
        <w:rFonts w:hint="default"/>
        <w:lang w:val="en-US" w:eastAsia="en-US" w:bidi="ar-SA"/>
      </w:rPr>
    </w:lvl>
    <w:lvl w:ilvl="6">
      <w:start w:val="0"/>
      <w:numFmt w:val="bullet"/>
      <w:lvlText w:val="•"/>
      <w:lvlJc w:val="left"/>
      <w:pPr>
        <w:ind w:left="7719" w:hanging="324"/>
      </w:pPr>
      <w:rPr>
        <w:rFonts w:hint="default"/>
        <w:lang w:val="en-US" w:eastAsia="en-US" w:bidi="ar-SA"/>
      </w:rPr>
    </w:lvl>
    <w:lvl w:ilvl="7">
      <w:start w:val="0"/>
      <w:numFmt w:val="bullet"/>
      <w:lvlText w:val="•"/>
      <w:lvlJc w:val="left"/>
      <w:pPr>
        <w:ind w:left="8766" w:hanging="324"/>
      </w:pPr>
      <w:rPr>
        <w:rFonts w:hint="default"/>
        <w:lang w:val="en-US" w:eastAsia="en-US" w:bidi="ar-SA"/>
      </w:rPr>
    </w:lvl>
    <w:lvl w:ilvl="8">
      <w:start w:val="0"/>
      <w:numFmt w:val="bullet"/>
      <w:lvlText w:val="•"/>
      <w:lvlJc w:val="left"/>
      <w:pPr>
        <w:ind w:left="9813" w:hanging="324"/>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ind w:left="1440"/>
    </w:pPr>
    <w:rPr>
      <w:rFonts w:ascii="Calibri" w:hAnsi="Calibri" w:eastAsia="Calibri" w:cs="Calibri"/>
      <w:sz w:val="22"/>
      <w:szCs w:val="22"/>
      <w:lang w:val="en-US" w:eastAsia="en-US" w:bidi="ar-SA"/>
    </w:rPr>
  </w:style>
  <w:style w:styleId="Heading1" w:type="paragraph">
    <w:name w:val="Heading 1"/>
    <w:basedOn w:val="Normal"/>
    <w:uiPriority w:val="1"/>
    <w:qFormat/>
    <w:pPr>
      <w:ind w:left="1440"/>
      <w:outlineLvl w:val="1"/>
    </w:pPr>
    <w:rPr>
      <w:rFonts w:ascii="Segoe UI" w:hAnsi="Segoe UI" w:eastAsia="Segoe UI" w:cs="Segoe UI"/>
      <w:b/>
      <w:bCs/>
      <w:sz w:val="32"/>
      <w:szCs w:val="32"/>
      <w:lang w:val="en-US" w:eastAsia="en-US" w:bidi="ar-SA"/>
    </w:rPr>
  </w:style>
  <w:style w:styleId="Heading2" w:type="paragraph">
    <w:name w:val="Heading 2"/>
    <w:basedOn w:val="Normal"/>
    <w:uiPriority w:val="1"/>
    <w:qFormat/>
    <w:pPr>
      <w:spacing w:before="120"/>
      <w:ind w:left="1440"/>
      <w:outlineLvl w:val="2"/>
    </w:pPr>
    <w:rPr>
      <w:rFonts w:ascii="Segoe UI" w:hAnsi="Segoe UI" w:eastAsia="Segoe UI" w:cs="Segoe UI"/>
      <w:b/>
      <w:bCs/>
      <w:sz w:val="28"/>
      <w:szCs w:val="28"/>
      <w:lang w:val="en-US" w:eastAsia="en-US" w:bidi="ar-SA"/>
    </w:rPr>
  </w:style>
  <w:style w:styleId="Heading3" w:type="paragraph">
    <w:name w:val="Heading 3"/>
    <w:basedOn w:val="Normal"/>
    <w:uiPriority w:val="1"/>
    <w:qFormat/>
    <w:pPr>
      <w:spacing w:before="121"/>
      <w:ind w:left="1440" w:right="1490"/>
      <w:outlineLvl w:val="3"/>
    </w:pPr>
    <w:rPr>
      <w:rFonts w:ascii="Segoe UI" w:hAnsi="Segoe UI" w:eastAsia="Segoe UI" w:cs="Segoe UI"/>
      <w:b/>
      <w:bCs/>
      <w:sz w:val="24"/>
      <w:szCs w:val="24"/>
      <w:lang w:val="en-US" w:eastAsia="en-US" w:bidi="ar-SA"/>
    </w:rPr>
  </w:style>
  <w:style w:styleId="Heading4" w:type="paragraph">
    <w:name w:val="Heading 4"/>
    <w:basedOn w:val="Normal"/>
    <w:uiPriority w:val="1"/>
    <w:qFormat/>
    <w:pPr>
      <w:ind w:left="1440"/>
      <w:outlineLvl w:val="4"/>
    </w:pPr>
    <w:rPr>
      <w:rFonts w:ascii="Segoe UI" w:hAnsi="Segoe UI" w:eastAsia="Segoe UI" w:cs="Segoe UI"/>
      <w:sz w:val="24"/>
      <w:szCs w:val="24"/>
      <w:lang w:val="en-US" w:eastAsia="en-US" w:bidi="ar-SA"/>
    </w:rPr>
  </w:style>
  <w:style w:styleId="ListParagraph" w:type="paragraph">
    <w:name w:val="List Paragraph"/>
    <w:basedOn w:val="Normal"/>
    <w:uiPriority w:val="1"/>
    <w:qFormat/>
    <w:pPr>
      <w:spacing w:before="1"/>
      <w:ind w:left="1800" w:right="1468" w:hanging="360"/>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s://www.flemken.news/letter-homes-victoria" TargetMode="External"/><Relationship Id="rId9" Type="http://schemas.openxmlformats.org/officeDocument/2006/relationships/hyperlink" Target="https://www.ahuri.edu.au/analysis/brief/what-are-real-costs-australias-housing-crisis-women" TargetMode="External"/><Relationship Id="rId10" Type="http://schemas.openxmlformats.org/officeDocument/2006/relationships/hyperlink" Target="https://www.supremecourt.vic.gov.au/sites/default/files/2025-02/Ruling%20of%20Keogh%20J%20%2810%20February%202025%29_1.pdf" TargetMode="External"/><Relationship Id="rId11" Type="http://schemas.openxmlformats.org/officeDocument/2006/relationships/hyperlink" Target="https://www.ahuri.edu.au/sites/default/files/migration/documents/overcrowding-and-severe-overcrowding-report.pdf" TargetMode="External"/><Relationship Id="rId12" Type="http://schemas.openxmlformats.org/officeDocument/2006/relationships/hyperlink" Target="https://scanloninstitute.org.au/wp-content/uploads/Scanlon-Institute_Narrative-5_v2.1.pdf" TargetMode="External"/><Relationship Id="rId13" Type="http://schemas.openxmlformats.org/officeDocument/2006/relationships/hyperlink" Target="https://doi.org/10.1016/j.ijdrr.2023.104073" TargetMode="External"/><Relationship Id="rId14" Type="http://schemas.openxmlformats.org/officeDocument/2006/relationships/hyperlink" Target="https://www.theage.com.au/national/victoria/public-housing-tower-tenants-gain-more-time-from-being-evicted-20241029-p5km97.html" TargetMode="External"/><Relationship Id="rId15" Type="http://schemas.openxmlformats.org/officeDocument/2006/relationships/hyperlink" Target="https://www.mcwh.com.au/wp-content/uploads/Workplace-Equality_Resource-1.pdf" TargetMode="External"/><Relationship Id="rId16" Type="http://schemas.openxmlformats.org/officeDocument/2006/relationships/hyperlink" Target="https://homelessnessaustralia.org.au/wp-content/uploads/2024/03/IWD-2024-3.pdf" TargetMode="External"/><Relationship Id="rId17" Type="http://schemas.openxmlformats.org/officeDocument/2006/relationships/hyperlink" Target="https://www.housing.vic.gov.au/sites/default/files/documents/202309/HV015922_2022_resident_survey_A4_v11_0.pdf" TargetMode="External"/><Relationship Id="rId18" Type="http://schemas.openxmlformats.org/officeDocument/2006/relationships/hyperlink" Target="https://doi.org/10.1080/17535069.2025.2450478" TargetMode="External"/><Relationship Id="rId19" Type="http://schemas.openxmlformats.org/officeDocument/2006/relationships/hyperlink" Target="https://doi.org/10.1177/1035304612474215" TargetMode="External"/><Relationship Id="rId20" Type="http://schemas.openxmlformats.org/officeDocument/2006/relationships/hyperlink" Target="https://www.mcwh.com.au/wp-content/uploads/MCWH-Universal-Access-Inquiry-Submission_final-20221215.pdf" TargetMode="External"/><Relationship Id="rId21" Type="http://schemas.openxmlformats.org/officeDocument/2006/relationships/hyperlink" Target="https://www.mcwh.com.au/wp-content/uploads/Making-the-Links-Report-2022.pdf" TargetMode="External"/><Relationship Id="rId22" Type="http://schemas.openxmlformats.org/officeDocument/2006/relationships/hyperlink" Target="https://doi.org/10.1007/978-3-030-91331-1_3" TargetMode="External"/><Relationship Id="rId23" Type="http://schemas.openxmlformats.org/officeDocument/2006/relationships/hyperlink" Target="https://office.org.au/api/wp-content/uploads/2024/10/Retain-Repair-Reinvest-Flemington-Estate_OFFICE_Full-Report.pdf" TargetMode="External"/><Relationship Id="rId24" Type="http://schemas.openxmlformats.org/officeDocument/2006/relationships/hyperlink" Target="https://www.dtf.vic.gov.au/sites/default/files/2024-12/Social-Housing-Regulation-Review-Interim-Report.pdf" TargetMode="External"/><Relationship Id="rId25" Type="http://schemas.openxmlformats.org/officeDocument/2006/relationships/hyperlink" Target="https://www.mcwh.com.au/wp-content/uploads/Building-Bridges-Promoting-Mental-Health-and-Wellbeing-for-Migrant-and-Refugee-Women_Report_FINAL.pdf" TargetMode="External"/><Relationship Id="rId26" Type="http://schemas.openxmlformats.org/officeDocument/2006/relationships/hyperlink" Target="https://www.vichealth.vic.gov.au/sites/default/files/Housing_and-_Health_Research-Summary_web.pdf" TargetMode="External"/><Relationship Id="rId27" Type="http://schemas.openxmlformats.org/officeDocument/2006/relationships/hyperlink" Target="https://www.abc.net.au/news/2021-07-04/melbourne-public-housing-residents-moved-under-victorian-program/100265364" TargetMode="External"/><Relationship Id="rId28" Type="http://schemas.openxmlformats.org/officeDocument/2006/relationships/hyperlink" Target="https://bmcpublichealth.biomedcentral.com/articles/10.1186/s12889-019-8068-3" TargetMode="External"/><Relationship Id="rId29" Type="http://schemas.openxmlformats.org/officeDocument/2006/relationships/hyperlink" Target="https://www.tandfonline.com/doi/full/10.1080/02673037.2023.2238626#abstract" TargetMode="External"/><Relationship Id="rId30" Type="http://schemas.openxmlformats.org/officeDocument/2006/relationships/hyperlink" Target="https://bmcpublichealth.biomedcentral.com/articles/10.1186/s12889-024-18616-" TargetMode="External"/><Relationship Id="rId3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Adele Murdolo</dc:creator>
  <dcterms:created xsi:type="dcterms:W3CDTF">2025-04-24T00:10:18Z</dcterms:created>
  <dcterms:modified xsi:type="dcterms:W3CDTF">2025-04-24T00:10:18Z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2025-03-31T00:00:00Z</vt:filetime>
  </property>
  <property fmtid="{D5CDD505-2E9C-101B-9397-08002B2CF9AE}" pid="3" name="Creator">
    <vt:lpwstr>Microsoft® Word for Microsoft 365</vt:lpwstr>
  </property>
  <property fmtid="{D5CDD505-2E9C-101B-9397-08002B2CF9AE}" pid="4" name="LastSaved">
    <vt:filetime>2025-04-24T00:00:00Z</vt:filetime>
  </property>
  <property fmtid="{D5CDD505-2E9C-101B-9397-08002B2CF9AE}" pid="5" name="Producer">
    <vt:lpwstr>Microsoft® Word for Microsoft 365</vt:lpwstr>
  </property>
</Properties>
</file>